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BEB" w:rsidRPr="005C4714" w:rsidRDefault="0038266B" w:rsidP="00F54619">
      <w:pPr>
        <w:spacing w:after="0" w:line="240" w:lineRule="auto"/>
        <w:rPr>
          <w:rFonts w:ascii="Arial" w:hAnsi="Arial" w:cs="Arial"/>
          <w:b/>
          <w:sz w:val="24"/>
          <w:szCs w:val="24"/>
        </w:rPr>
      </w:pPr>
      <w:bookmarkStart w:id="0" w:name="_GoBack"/>
      <w:bookmarkEnd w:id="0"/>
      <w:r>
        <w:rPr>
          <w:rFonts w:ascii="Arial" w:hAnsi="Arial" w:cs="Arial"/>
          <w:b/>
          <w:sz w:val="24"/>
          <w:szCs w:val="24"/>
        </w:rPr>
        <w:t xml:space="preserve">NCG </w:t>
      </w:r>
      <w:r w:rsidR="00767ED4">
        <w:rPr>
          <w:rFonts w:ascii="Arial" w:hAnsi="Arial" w:cs="Arial"/>
          <w:b/>
          <w:sz w:val="24"/>
          <w:szCs w:val="24"/>
        </w:rPr>
        <w:t xml:space="preserve">Process </w:t>
      </w:r>
      <w:proofErr w:type="gramStart"/>
      <w:r w:rsidR="00767ED4">
        <w:rPr>
          <w:rFonts w:ascii="Arial" w:hAnsi="Arial" w:cs="Arial"/>
          <w:b/>
          <w:sz w:val="24"/>
          <w:szCs w:val="24"/>
        </w:rPr>
        <w:t>For</w:t>
      </w:r>
      <w:proofErr w:type="gramEnd"/>
      <w:r w:rsidR="00767ED4">
        <w:rPr>
          <w:rFonts w:ascii="Arial" w:hAnsi="Arial" w:cs="Arial"/>
          <w:b/>
          <w:sz w:val="24"/>
          <w:szCs w:val="24"/>
        </w:rPr>
        <w:t xml:space="preserve"> </w:t>
      </w:r>
      <w:r>
        <w:rPr>
          <w:rFonts w:ascii="Arial" w:hAnsi="Arial" w:cs="Arial"/>
          <w:b/>
          <w:sz w:val="24"/>
          <w:szCs w:val="24"/>
        </w:rPr>
        <w:t xml:space="preserve">Commencing </w:t>
      </w:r>
      <w:r w:rsidR="00767ED4">
        <w:rPr>
          <w:rFonts w:ascii="Arial" w:hAnsi="Arial" w:cs="Arial"/>
          <w:b/>
          <w:sz w:val="24"/>
          <w:szCs w:val="24"/>
        </w:rPr>
        <w:t>Agency Workers</w:t>
      </w:r>
    </w:p>
    <w:p w:rsidR="00353BEB" w:rsidRPr="005C4714" w:rsidRDefault="00353BEB" w:rsidP="00F54619">
      <w:pPr>
        <w:spacing w:after="0" w:line="240" w:lineRule="auto"/>
        <w:rPr>
          <w:rFonts w:ascii="Arial" w:hAnsi="Arial" w:cs="Arial"/>
          <w:b/>
          <w:sz w:val="24"/>
          <w:szCs w:val="24"/>
        </w:rPr>
      </w:pPr>
    </w:p>
    <w:p w:rsidR="00353BEB" w:rsidRPr="005C4714" w:rsidRDefault="00FC43EB" w:rsidP="00F54619">
      <w:pPr>
        <w:spacing w:after="0" w:line="240" w:lineRule="auto"/>
        <w:rPr>
          <w:rFonts w:ascii="Arial" w:hAnsi="Arial" w:cs="Arial"/>
          <w:sz w:val="24"/>
          <w:szCs w:val="24"/>
        </w:rPr>
      </w:pPr>
      <w:r w:rsidRPr="005C4714">
        <w:rPr>
          <w:rFonts w:ascii="Arial" w:hAnsi="Arial" w:cs="Arial"/>
          <w:sz w:val="24"/>
          <w:szCs w:val="24"/>
        </w:rPr>
        <w:t xml:space="preserve">Morgan Hunt </w:t>
      </w:r>
      <w:r w:rsidR="00353BEB" w:rsidRPr="005C4714">
        <w:rPr>
          <w:rFonts w:ascii="Arial" w:hAnsi="Arial" w:cs="Arial"/>
          <w:sz w:val="24"/>
          <w:szCs w:val="24"/>
        </w:rPr>
        <w:t>is</w:t>
      </w:r>
      <w:r w:rsidRPr="005C4714">
        <w:rPr>
          <w:rFonts w:ascii="Arial" w:hAnsi="Arial" w:cs="Arial"/>
          <w:sz w:val="24"/>
          <w:szCs w:val="24"/>
        </w:rPr>
        <w:t xml:space="preserve"> NCG’s preferred </w:t>
      </w:r>
      <w:r w:rsidR="00F50EDA" w:rsidRPr="005C4714">
        <w:rPr>
          <w:rFonts w:ascii="Arial" w:hAnsi="Arial" w:cs="Arial"/>
          <w:sz w:val="24"/>
          <w:szCs w:val="24"/>
        </w:rPr>
        <w:t xml:space="preserve">supplier for </w:t>
      </w:r>
      <w:r w:rsidR="004F5B50" w:rsidRPr="005C4714">
        <w:rPr>
          <w:rFonts w:ascii="Arial" w:hAnsi="Arial" w:cs="Arial"/>
          <w:sz w:val="24"/>
          <w:szCs w:val="24"/>
        </w:rPr>
        <w:t xml:space="preserve">all temporary </w:t>
      </w:r>
      <w:r w:rsidR="00F50EDA" w:rsidRPr="005C4714">
        <w:rPr>
          <w:rFonts w:ascii="Arial" w:hAnsi="Arial" w:cs="Arial"/>
          <w:sz w:val="24"/>
          <w:szCs w:val="24"/>
        </w:rPr>
        <w:t>agency workers</w:t>
      </w:r>
      <w:r w:rsidR="004F5B50" w:rsidRPr="005C4714">
        <w:rPr>
          <w:rFonts w:ascii="Arial" w:hAnsi="Arial" w:cs="Arial"/>
          <w:sz w:val="24"/>
          <w:szCs w:val="24"/>
        </w:rPr>
        <w:t xml:space="preserve"> and permanent recruitment requiring agency assistance</w:t>
      </w:r>
      <w:r w:rsidRPr="005C4714">
        <w:rPr>
          <w:rFonts w:ascii="Arial" w:hAnsi="Arial" w:cs="Arial"/>
          <w:sz w:val="24"/>
          <w:szCs w:val="24"/>
        </w:rPr>
        <w:t>.</w:t>
      </w:r>
      <w:r w:rsidR="00CF6A63" w:rsidRPr="005C4714">
        <w:rPr>
          <w:rFonts w:ascii="Arial" w:hAnsi="Arial" w:cs="Arial"/>
          <w:sz w:val="24"/>
          <w:szCs w:val="24"/>
        </w:rPr>
        <w:t xml:space="preserve"> </w:t>
      </w:r>
    </w:p>
    <w:p w:rsidR="00353BEB" w:rsidRPr="005C4714" w:rsidRDefault="00EA47A8" w:rsidP="00F54619">
      <w:pPr>
        <w:tabs>
          <w:tab w:val="left" w:pos="6710"/>
        </w:tabs>
        <w:spacing w:after="0" w:line="240" w:lineRule="auto"/>
        <w:rPr>
          <w:rFonts w:ascii="Arial" w:hAnsi="Arial" w:cs="Arial"/>
          <w:sz w:val="24"/>
          <w:szCs w:val="24"/>
        </w:rPr>
      </w:pPr>
      <w:r w:rsidRPr="005C4714">
        <w:rPr>
          <w:rFonts w:ascii="Arial" w:hAnsi="Arial" w:cs="Arial"/>
          <w:sz w:val="24"/>
          <w:szCs w:val="24"/>
        </w:rPr>
        <w:tab/>
        <w:t xml:space="preserve"> </w:t>
      </w:r>
    </w:p>
    <w:p w:rsidR="003B3F9C" w:rsidRPr="005C4714" w:rsidRDefault="003B3F9C" w:rsidP="00F54619">
      <w:pPr>
        <w:spacing w:after="0" w:line="240" w:lineRule="auto"/>
        <w:rPr>
          <w:rFonts w:ascii="Arial" w:hAnsi="Arial" w:cs="Arial"/>
          <w:b/>
          <w:sz w:val="24"/>
          <w:szCs w:val="24"/>
        </w:rPr>
      </w:pPr>
      <w:r w:rsidRPr="005C4714">
        <w:rPr>
          <w:rFonts w:ascii="Arial" w:hAnsi="Arial" w:cs="Arial"/>
          <w:b/>
          <w:sz w:val="24"/>
          <w:szCs w:val="24"/>
        </w:rPr>
        <w:t>Service Offer</w:t>
      </w:r>
    </w:p>
    <w:p w:rsidR="00353BEB" w:rsidRPr="005C4714" w:rsidRDefault="00CF6A63" w:rsidP="00F54619">
      <w:pPr>
        <w:spacing w:after="0" w:line="240" w:lineRule="auto"/>
        <w:rPr>
          <w:rFonts w:ascii="Arial" w:hAnsi="Arial" w:cs="Arial"/>
          <w:sz w:val="24"/>
          <w:szCs w:val="24"/>
        </w:rPr>
      </w:pPr>
      <w:r w:rsidRPr="005C4714">
        <w:rPr>
          <w:rFonts w:ascii="Arial" w:hAnsi="Arial" w:cs="Arial"/>
          <w:sz w:val="24"/>
          <w:szCs w:val="24"/>
        </w:rPr>
        <w:t xml:space="preserve">Below outlines the </w:t>
      </w:r>
      <w:r w:rsidR="008E4BA4" w:rsidRPr="005C4714">
        <w:rPr>
          <w:rFonts w:ascii="Arial" w:hAnsi="Arial" w:cs="Arial"/>
          <w:sz w:val="24"/>
          <w:szCs w:val="24"/>
        </w:rPr>
        <w:t>service</w:t>
      </w:r>
      <w:r w:rsidR="00353BEB" w:rsidRPr="005C4714">
        <w:rPr>
          <w:rFonts w:ascii="Arial" w:hAnsi="Arial" w:cs="Arial"/>
          <w:sz w:val="24"/>
          <w:szCs w:val="24"/>
        </w:rPr>
        <w:t xml:space="preserve"> offer agreed with Morgan Hunt</w:t>
      </w:r>
      <w:r w:rsidR="008E4BA4" w:rsidRPr="005C4714">
        <w:rPr>
          <w:rFonts w:ascii="Arial" w:hAnsi="Arial" w:cs="Arial"/>
          <w:sz w:val="24"/>
          <w:szCs w:val="24"/>
        </w:rPr>
        <w:t xml:space="preserve"> and their supply chain</w:t>
      </w:r>
      <w:r w:rsidR="00353BEB" w:rsidRPr="005C4714">
        <w:rPr>
          <w:rFonts w:ascii="Arial" w:hAnsi="Arial" w:cs="Arial"/>
          <w:sz w:val="24"/>
          <w:szCs w:val="24"/>
        </w:rPr>
        <w:t>:</w:t>
      </w:r>
    </w:p>
    <w:p w:rsidR="00D80E43" w:rsidRPr="005C4714" w:rsidRDefault="00D80E43" w:rsidP="00F54619">
      <w:pPr>
        <w:spacing w:after="0" w:line="240" w:lineRule="auto"/>
        <w:rPr>
          <w:rFonts w:ascii="Arial" w:hAnsi="Arial" w:cs="Arial"/>
          <w:sz w:val="24"/>
          <w:szCs w:val="24"/>
        </w:rPr>
      </w:pPr>
    </w:p>
    <w:p w:rsidR="008E4BA4" w:rsidRPr="005C4714" w:rsidRDefault="008E4BA4" w:rsidP="00F54619">
      <w:pPr>
        <w:pStyle w:val="ListParagraph"/>
        <w:numPr>
          <w:ilvl w:val="0"/>
          <w:numId w:val="1"/>
        </w:numPr>
        <w:rPr>
          <w:rFonts w:ascii="Arial" w:eastAsia="Times New Roman" w:hAnsi="Arial" w:cs="Arial"/>
          <w:sz w:val="24"/>
          <w:szCs w:val="24"/>
        </w:rPr>
      </w:pPr>
      <w:r w:rsidRPr="005C4714">
        <w:rPr>
          <w:rFonts w:ascii="Arial" w:eastAsia="Times New Roman" w:hAnsi="Arial" w:cs="Arial"/>
          <w:sz w:val="24"/>
          <w:szCs w:val="24"/>
        </w:rPr>
        <w:t>Dedicated account manager for NCG with support from localised support for Lewisham and Southwark Colleges.</w:t>
      </w:r>
    </w:p>
    <w:p w:rsidR="00FC43EB" w:rsidRDefault="00FC43EB" w:rsidP="00F54619">
      <w:pPr>
        <w:pStyle w:val="ListParagraph"/>
        <w:numPr>
          <w:ilvl w:val="0"/>
          <w:numId w:val="1"/>
        </w:numPr>
        <w:rPr>
          <w:rFonts w:ascii="Arial" w:eastAsia="Times New Roman" w:hAnsi="Arial" w:cs="Arial"/>
          <w:sz w:val="24"/>
          <w:szCs w:val="24"/>
        </w:rPr>
      </w:pPr>
      <w:r w:rsidRPr="005C4714">
        <w:rPr>
          <w:rFonts w:ascii="Arial" w:eastAsia="Times New Roman" w:hAnsi="Arial" w:cs="Arial"/>
          <w:sz w:val="24"/>
          <w:szCs w:val="24"/>
        </w:rPr>
        <w:t xml:space="preserve">All </w:t>
      </w:r>
      <w:r w:rsidR="00937883" w:rsidRPr="005C4714">
        <w:rPr>
          <w:rFonts w:ascii="Arial" w:eastAsia="Times New Roman" w:hAnsi="Arial" w:cs="Arial"/>
          <w:sz w:val="24"/>
          <w:szCs w:val="24"/>
        </w:rPr>
        <w:t xml:space="preserve">temporary </w:t>
      </w:r>
      <w:r w:rsidRPr="005C4714">
        <w:rPr>
          <w:rFonts w:ascii="Arial" w:eastAsia="Times New Roman" w:hAnsi="Arial" w:cs="Arial"/>
          <w:sz w:val="24"/>
          <w:szCs w:val="24"/>
        </w:rPr>
        <w:t>agency request</w:t>
      </w:r>
      <w:r w:rsidR="00937883" w:rsidRPr="005C4714">
        <w:rPr>
          <w:rFonts w:ascii="Arial" w:eastAsia="Times New Roman" w:hAnsi="Arial" w:cs="Arial"/>
          <w:sz w:val="24"/>
          <w:szCs w:val="24"/>
        </w:rPr>
        <w:t>s</w:t>
      </w:r>
      <w:r w:rsidRPr="005C4714">
        <w:rPr>
          <w:rFonts w:ascii="Arial" w:eastAsia="Times New Roman" w:hAnsi="Arial" w:cs="Arial"/>
          <w:sz w:val="24"/>
          <w:szCs w:val="24"/>
        </w:rPr>
        <w:t xml:space="preserve"> must be submitted via the Morgan Hunt Talent room system</w:t>
      </w:r>
      <w:r w:rsidR="004F5B50" w:rsidRPr="005C4714">
        <w:rPr>
          <w:rFonts w:ascii="Arial" w:eastAsia="Times New Roman" w:hAnsi="Arial" w:cs="Arial"/>
          <w:sz w:val="24"/>
          <w:szCs w:val="24"/>
        </w:rPr>
        <w:t>.  Until the request has been raised in Talent room and approved by the relevant approver, Morgan Hunt will not commence sourcing candidates.</w:t>
      </w:r>
    </w:p>
    <w:p w:rsidR="008703BE" w:rsidRPr="00B73DCB" w:rsidRDefault="00B73DCB" w:rsidP="00B73DCB">
      <w:pPr>
        <w:pStyle w:val="ListParagraph"/>
        <w:numPr>
          <w:ilvl w:val="0"/>
          <w:numId w:val="1"/>
        </w:numPr>
        <w:rPr>
          <w:rFonts w:ascii="Arial" w:eastAsia="Times New Roman" w:hAnsi="Arial" w:cs="Arial"/>
          <w:sz w:val="24"/>
          <w:szCs w:val="24"/>
        </w:rPr>
      </w:pPr>
      <w:r w:rsidRPr="00B73DCB">
        <w:rPr>
          <w:rFonts w:ascii="Arial" w:eastAsia="Times New Roman" w:hAnsi="Arial" w:cs="Arial"/>
          <w:sz w:val="24"/>
          <w:szCs w:val="24"/>
        </w:rPr>
        <w:t xml:space="preserve">In line with IR35 regulations hiring managers need to complete a ‘check employment status for tax (CEST)’ form, available </w:t>
      </w:r>
      <w:r w:rsidRPr="00763F20">
        <w:rPr>
          <w:rFonts w:ascii="Arial" w:eastAsia="Times New Roman" w:hAnsi="Arial" w:cs="Arial"/>
          <w:sz w:val="24"/>
          <w:szCs w:val="24"/>
        </w:rPr>
        <w:t xml:space="preserve">on the </w:t>
      </w:r>
      <w:hyperlink r:id="rId10" w:history="1">
        <w:r w:rsidRPr="00763F20">
          <w:rPr>
            <w:rStyle w:val="Hyperlink"/>
            <w:rFonts w:ascii="Arial" w:hAnsi="Arial" w:cs="Arial"/>
            <w:sz w:val="24"/>
            <w:szCs w:val="24"/>
          </w:rPr>
          <w:t>gov.uk</w:t>
        </w:r>
      </w:hyperlink>
      <w:r w:rsidRPr="00763F20">
        <w:rPr>
          <w:rFonts w:ascii="Arial" w:eastAsia="Times New Roman" w:hAnsi="Arial" w:cs="Arial"/>
          <w:sz w:val="24"/>
          <w:szCs w:val="24"/>
        </w:rPr>
        <w:t xml:space="preserve"> website.</w:t>
      </w:r>
      <w:r w:rsidRPr="00B73DCB">
        <w:rPr>
          <w:rFonts w:ascii="Arial" w:eastAsia="Times New Roman" w:hAnsi="Arial" w:cs="Arial"/>
          <w:sz w:val="24"/>
          <w:szCs w:val="24"/>
        </w:rPr>
        <w:t xml:space="preserve"> </w:t>
      </w:r>
      <w:r>
        <w:rPr>
          <w:rFonts w:ascii="Arial" w:eastAsia="Times New Roman" w:hAnsi="Arial" w:cs="Arial"/>
          <w:sz w:val="24"/>
          <w:szCs w:val="24"/>
        </w:rPr>
        <w:t xml:space="preserve">This form will need to be completed and uploaded to the </w:t>
      </w:r>
      <w:proofErr w:type="spellStart"/>
      <w:r>
        <w:rPr>
          <w:rFonts w:ascii="Arial" w:eastAsia="Times New Roman" w:hAnsi="Arial" w:cs="Arial"/>
          <w:sz w:val="24"/>
          <w:szCs w:val="24"/>
        </w:rPr>
        <w:t>TalentRoom</w:t>
      </w:r>
      <w:proofErr w:type="spellEnd"/>
      <w:r>
        <w:rPr>
          <w:rFonts w:ascii="Arial" w:eastAsia="Times New Roman" w:hAnsi="Arial" w:cs="Arial"/>
          <w:sz w:val="24"/>
          <w:szCs w:val="24"/>
        </w:rPr>
        <w:t xml:space="preserve"> system when creating a </w:t>
      </w:r>
      <w:proofErr w:type="spellStart"/>
      <w:proofErr w:type="gramStart"/>
      <w:r>
        <w:rPr>
          <w:rFonts w:ascii="Arial" w:eastAsia="Times New Roman" w:hAnsi="Arial" w:cs="Arial"/>
          <w:sz w:val="24"/>
          <w:szCs w:val="24"/>
        </w:rPr>
        <w:t>requisition.</w:t>
      </w:r>
      <w:r w:rsidR="008703BE" w:rsidRPr="00B73DCB">
        <w:rPr>
          <w:rFonts w:ascii="Arial" w:eastAsia="Times New Roman" w:hAnsi="Arial" w:cs="Arial"/>
          <w:sz w:val="24"/>
          <w:szCs w:val="24"/>
        </w:rPr>
        <w:t>Morgan</w:t>
      </w:r>
      <w:proofErr w:type="spellEnd"/>
      <w:proofErr w:type="gramEnd"/>
      <w:r w:rsidR="008703BE" w:rsidRPr="00B73DCB">
        <w:rPr>
          <w:rFonts w:ascii="Arial" w:eastAsia="Times New Roman" w:hAnsi="Arial" w:cs="Arial"/>
          <w:sz w:val="24"/>
          <w:szCs w:val="24"/>
        </w:rPr>
        <w:t xml:space="preserve"> Hunt will only present candidates who fully meet our pre-employment compliance checks.</w:t>
      </w:r>
    </w:p>
    <w:p w:rsidR="00FC43EB" w:rsidRPr="005C4714" w:rsidRDefault="00FC43EB" w:rsidP="00F54619">
      <w:pPr>
        <w:pStyle w:val="ListParagraph"/>
        <w:numPr>
          <w:ilvl w:val="0"/>
          <w:numId w:val="1"/>
        </w:numPr>
        <w:rPr>
          <w:rFonts w:ascii="Arial" w:eastAsia="Times New Roman" w:hAnsi="Arial" w:cs="Arial"/>
          <w:sz w:val="24"/>
          <w:szCs w:val="24"/>
        </w:rPr>
      </w:pPr>
      <w:r w:rsidRPr="005C4714">
        <w:rPr>
          <w:rFonts w:ascii="Arial" w:eastAsia="Times New Roman" w:hAnsi="Arial" w:cs="Arial"/>
          <w:sz w:val="24"/>
          <w:szCs w:val="24"/>
        </w:rPr>
        <w:t>Once approved</w:t>
      </w:r>
      <w:r w:rsidR="00937883" w:rsidRPr="005C4714">
        <w:rPr>
          <w:rFonts w:ascii="Arial" w:eastAsia="Times New Roman" w:hAnsi="Arial" w:cs="Arial"/>
          <w:sz w:val="24"/>
          <w:szCs w:val="24"/>
        </w:rPr>
        <w:t xml:space="preserve">, </w:t>
      </w:r>
      <w:r w:rsidRPr="005C4714">
        <w:rPr>
          <w:rFonts w:ascii="Arial" w:eastAsia="Times New Roman" w:hAnsi="Arial" w:cs="Arial"/>
          <w:sz w:val="24"/>
          <w:szCs w:val="24"/>
        </w:rPr>
        <w:t>M</w:t>
      </w:r>
      <w:r w:rsidR="004F5B50" w:rsidRPr="005C4714">
        <w:rPr>
          <w:rFonts w:ascii="Arial" w:eastAsia="Times New Roman" w:hAnsi="Arial" w:cs="Arial"/>
          <w:sz w:val="24"/>
          <w:szCs w:val="24"/>
        </w:rPr>
        <w:t xml:space="preserve">organ </w:t>
      </w:r>
      <w:r w:rsidRPr="005C4714">
        <w:rPr>
          <w:rFonts w:ascii="Arial" w:eastAsia="Times New Roman" w:hAnsi="Arial" w:cs="Arial"/>
          <w:sz w:val="24"/>
          <w:szCs w:val="24"/>
        </w:rPr>
        <w:t>H</w:t>
      </w:r>
      <w:r w:rsidR="004F5B50" w:rsidRPr="005C4714">
        <w:rPr>
          <w:rFonts w:ascii="Arial" w:eastAsia="Times New Roman" w:hAnsi="Arial" w:cs="Arial"/>
          <w:sz w:val="24"/>
          <w:szCs w:val="24"/>
        </w:rPr>
        <w:t>unt</w:t>
      </w:r>
      <w:r w:rsidRPr="005C4714">
        <w:rPr>
          <w:rFonts w:ascii="Arial" w:eastAsia="Times New Roman" w:hAnsi="Arial" w:cs="Arial"/>
          <w:sz w:val="24"/>
          <w:szCs w:val="24"/>
        </w:rPr>
        <w:t xml:space="preserve"> have 48 hours</w:t>
      </w:r>
      <w:r w:rsidR="006855C0" w:rsidRPr="005C4714">
        <w:rPr>
          <w:rFonts w:ascii="Arial" w:eastAsia="Times New Roman" w:hAnsi="Arial" w:cs="Arial"/>
          <w:sz w:val="24"/>
          <w:szCs w:val="24"/>
        </w:rPr>
        <w:t xml:space="preserve"> (excluding bank holidays and weekends)</w:t>
      </w:r>
      <w:r w:rsidRPr="005C4714">
        <w:rPr>
          <w:rFonts w:ascii="Arial" w:eastAsia="Times New Roman" w:hAnsi="Arial" w:cs="Arial"/>
          <w:sz w:val="24"/>
          <w:szCs w:val="24"/>
        </w:rPr>
        <w:t xml:space="preserve"> to put forward suitable candidates</w:t>
      </w:r>
      <w:r w:rsidR="004F5B50" w:rsidRPr="005C4714">
        <w:rPr>
          <w:rFonts w:ascii="Arial" w:eastAsia="Times New Roman" w:hAnsi="Arial" w:cs="Arial"/>
          <w:sz w:val="24"/>
          <w:szCs w:val="24"/>
        </w:rPr>
        <w:t xml:space="preserve"> who meet </w:t>
      </w:r>
      <w:r w:rsidR="00937883" w:rsidRPr="005C4714">
        <w:rPr>
          <w:rFonts w:ascii="Arial" w:eastAsia="Times New Roman" w:hAnsi="Arial" w:cs="Arial"/>
          <w:sz w:val="24"/>
          <w:szCs w:val="24"/>
        </w:rPr>
        <w:t>the NCG</w:t>
      </w:r>
      <w:r w:rsidR="004F5B50" w:rsidRPr="005C4714">
        <w:rPr>
          <w:rFonts w:ascii="Arial" w:eastAsia="Times New Roman" w:hAnsi="Arial" w:cs="Arial"/>
          <w:sz w:val="24"/>
          <w:szCs w:val="24"/>
        </w:rPr>
        <w:t xml:space="preserve"> compliance requirements</w:t>
      </w:r>
      <w:r w:rsidR="00AF3E97" w:rsidRPr="005C4714">
        <w:rPr>
          <w:rFonts w:ascii="Arial" w:eastAsia="Times New Roman" w:hAnsi="Arial" w:cs="Arial"/>
          <w:sz w:val="24"/>
          <w:szCs w:val="24"/>
        </w:rPr>
        <w:t>, except whereby Morgan Hunt do not have a local presence or specialism, and they will send the role straight to their supply chain</w:t>
      </w:r>
      <w:r w:rsidR="008E4BA4" w:rsidRPr="005C4714">
        <w:rPr>
          <w:rFonts w:ascii="Arial" w:eastAsia="Times New Roman" w:hAnsi="Arial" w:cs="Arial"/>
          <w:sz w:val="24"/>
          <w:szCs w:val="24"/>
        </w:rPr>
        <w:t>.</w:t>
      </w:r>
      <w:r w:rsidR="006855C0" w:rsidRPr="005C4714">
        <w:rPr>
          <w:rFonts w:ascii="Arial" w:eastAsia="Times New Roman" w:hAnsi="Arial" w:cs="Arial"/>
          <w:sz w:val="24"/>
          <w:szCs w:val="24"/>
        </w:rPr>
        <w:t xml:space="preserve">  Once the supply chain has been approached, Morgan Hunt will have a further 72 hours (3 working days) to fulfil the vacancy (in totality 5 working days).</w:t>
      </w:r>
    </w:p>
    <w:p w:rsidR="00AF3E97" w:rsidRPr="005C4714" w:rsidRDefault="00FC43EB" w:rsidP="00F54619">
      <w:pPr>
        <w:pStyle w:val="ListParagraph"/>
        <w:numPr>
          <w:ilvl w:val="0"/>
          <w:numId w:val="1"/>
        </w:numPr>
        <w:rPr>
          <w:rFonts w:ascii="Arial" w:eastAsia="Times New Roman" w:hAnsi="Arial" w:cs="Arial"/>
          <w:sz w:val="24"/>
          <w:szCs w:val="24"/>
        </w:rPr>
      </w:pPr>
      <w:r w:rsidRPr="005C4714">
        <w:rPr>
          <w:rFonts w:ascii="Arial" w:eastAsia="Times New Roman" w:hAnsi="Arial" w:cs="Arial"/>
          <w:sz w:val="24"/>
          <w:szCs w:val="24"/>
        </w:rPr>
        <w:t>If M</w:t>
      </w:r>
      <w:r w:rsidR="004F5B50" w:rsidRPr="005C4714">
        <w:rPr>
          <w:rFonts w:ascii="Arial" w:eastAsia="Times New Roman" w:hAnsi="Arial" w:cs="Arial"/>
          <w:sz w:val="24"/>
          <w:szCs w:val="24"/>
        </w:rPr>
        <w:t>organ Hunt</w:t>
      </w:r>
      <w:r w:rsidRPr="005C4714">
        <w:rPr>
          <w:rFonts w:ascii="Arial" w:eastAsia="Times New Roman" w:hAnsi="Arial" w:cs="Arial"/>
          <w:sz w:val="24"/>
          <w:szCs w:val="24"/>
        </w:rPr>
        <w:t xml:space="preserve"> don’t have any suitable candidates they </w:t>
      </w:r>
      <w:r w:rsidR="00937883" w:rsidRPr="005C4714">
        <w:rPr>
          <w:rFonts w:ascii="Arial" w:eastAsia="Times New Roman" w:hAnsi="Arial" w:cs="Arial"/>
          <w:sz w:val="24"/>
          <w:szCs w:val="24"/>
        </w:rPr>
        <w:t xml:space="preserve">will </w:t>
      </w:r>
      <w:r w:rsidRPr="005C4714">
        <w:rPr>
          <w:rFonts w:ascii="Arial" w:eastAsia="Times New Roman" w:hAnsi="Arial" w:cs="Arial"/>
          <w:sz w:val="24"/>
          <w:szCs w:val="24"/>
        </w:rPr>
        <w:t xml:space="preserve">go out to </w:t>
      </w:r>
      <w:r w:rsidR="008E4BA4" w:rsidRPr="005C4714">
        <w:rPr>
          <w:rFonts w:ascii="Arial" w:eastAsia="Times New Roman" w:hAnsi="Arial" w:cs="Arial"/>
          <w:sz w:val="24"/>
          <w:szCs w:val="24"/>
        </w:rPr>
        <w:t>the</w:t>
      </w:r>
      <w:r w:rsidRPr="005C4714">
        <w:rPr>
          <w:rFonts w:ascii="Arial" w:eastAsia="Times New Roman" w:hAnsi="Arial" w:cs="Arial"/>
          <w:sz w:val="24"/>
          <w:szCs w:val="24"/>
        </w:rPr>
        <w:t xml:space="preserve"> agencies on their tiered supply chain</w:t>
      </w:r>
      <w:r w:rsidR="00AF3E97" w:rsidRPr="005C4714">
        <w:rPr>
          <w:rFonts w:ascii="Arial" w:eastAsia="Times New Roman" w:hAnsi="Arial" w:cs="Arial"/>
          <w:sz w:val="24"/>
          <w:szCs w:val="24"/>
        </w:rPr>
        <w:t xml:space="preserve"> depending on the role requirements</w:t>
      </w:r>
      <w:r w:rsidRPr="005C4714">
        <w:rPr>
          <w:rFonts w:ascii="Arial" w:eastAsia="Times New Roman" w:hAnsi="Arial" w:cs="Arial"/>
          <w:sz w:val="24"/>
          <w:szCs w:val="24"/>
        </w:rPr>
        <w:t xml:space="preserve"> e.g. agencies who have </w:t>
      </w:r>
      <w:r w:rsidR="00AF3E97" w:rsidRPr="005C4714">
        <w:rPr>
          <w:rFonts w:ascii="Arial" w:eastAsia="Times New Roman" w:hAnsi="Arial" w:cs="Arial"/>
          <w:sz w:val="24"/>
          <w:szCs w:val="24"/>
        </w:rPr>
        <w:t xml:space="preserve">agreed to provide this service offer and the fees below.  </w:t>
      </w:r>
    </w:p>
    <w:p w:rsidR="006855C0" w:rsidRPr="005C4714" w:rsidRDefault="006855C0" w:rsidP="00F54619">
      <w:pPr>
        <w:pStyle w:val="ListParagraph"/>
        <w:numPr>
          <w:ilvl w:val="0"/>
          <w:numId w:val="1"/>
        </w:numPr>
        <w:rPr>
          <w:rFonts w:ascii="Arial" w:eastAsia="Times New Roman" w:hAnsi="Arial" w:cs="Arial"/>
          <w:sz w:val="24"/>
          <w:szCs w:val="24"/>
        </w:rPr>
      </w:pPr>
      <w:r w:rsidRPr="005C4714">
        <w:rPr>
          <w:rFonts w:ascii="Arial" w:eastAsia="Times New Roman" w:hAnsi="Arial" w:cs="Arial"/>
          <w:sz w:val="24"/>
          <w:szCs w:val="24"/>
        </w:rPr>
        <w:t>In the event of any urgent requirement classified as a start time for the assignment within 72 hours, Morgan Hunt will go to the supply chain after 2 working hours of receiving the vacancy, and advise if they are unable to supply within 48 hours of the vacancy being raised (excluding weekends and bank holidays).</w:t>
      </w:r>
      <w:r w:rsidR="008703BE" w:rsidRPr="005C4714">
        <w:rPr>
          <w:rFonts w:ascii="Arial" w:eastAsia="Times New Roman" w:hAnsi="Arial" w:cs="Arial"/>
          <w:sz w:val="24"/>
          <w:szCs w:val="24"/>
        </w:rPr>
        <w:t xml:space="preserve">  Due to the urgency, Morgan Hunt will also present candidates who may not be fully compliant outside of Talent</w:t>
      </w:r>
      <w:r w:rsidR="001B295A" w:rsidRPr="005C4714">
        <w:rPr>
          <w:rFonts w:ascii="Arial" w:eastAsia="Times New Roman" w:hAnsi="Arial" w:cs="Arial"/>
          <w:sz w:val="24"/>
          <w:szCs w:val="24"/>
        </w:rPr>
        <w:t xml:space="preserve"> </w:t>
      </w:r>
      <w:r w:rsidR="008703BE" w:rsidRPr="005C4714">
        <w:rPr>
          <w:rFonts w:ascii="Arial" w:eastAsia="Times New Roman" w:hAnsi="Arial" w:cs="Arial"/>
          <w:sz w:val="24"/>
          <w:szCs w:val="24"/>
        </w:rPr>
        <w:t>room for consideration, and who will continue to chase compliance checks.  In the event that the candidate proposed by Morgan Hunt does not have the necessary pre-employment compliance checks and is offered the role, the following checks will need to be undertaken before the assignment commences:</w:t>
      </w:r>
    </w:p>
    <w:p w:rsidR="008703BE" w:rsidRPr="005C4714" w:rsidRDefault="008703BE" w:rsidP="00F54619">
      <w:pPr>
        <w:pStyle w:val="ListParagraph"/>
        <w:numPr>
          <w:ilvl w:val="1"/>
          <w:numId w:val="1"/>
        </w:numPr>
        <w:rPr>
          <w:rFonts w:ascii="Arial" w:eastAsia="Times New Roman" w:hAnsi="Arial" w:cs="Arial"/>
          <w:sz w:val="24"/>
          <w:szCs w:val="24"/>
          <w:lang w:eastAsia="en-US"/>
        </w:rPr>
      </w:pPr>
      <w:r w:rsidRPr="005C4714">
        <w:rPr>
          <w:rFonts w:ascii="Arial" w:eastAsia="Times New Roman" w:hAnsi="Arial" w:cs="Arial"/>
          <w:sz w:val="24"/>
          <w:szCs w:val="24"/>
          <w:lang w:eastAsia="en-US"/>
        </w:rPr>
        <w:t>A photocopy of their ID (Passport) to evidence that they are who they so they are – please take a copy and sign it to state you’ve seen it etc</w:t>
      </w:r>
    </w:p>
    <w:p w:rsidR="008703BE" w:rsidRPr="005C4714" w:rsidRDefault="008703BE" w:rsidP="00F54619">
      <w:pPr>
        <w:pStyle w:val="ListParagraph"/>
        <w:numPr>
          <w:ilvl w:val="1"/>
          <w:numId w:val="1"/>
        </w:numPr>
        <w:rPr>
          <w:rFonts w:ascii="Arial" w:eastAsia="Times New Roman" w:hAnsi="Arial" w:cs="Arial"/>
          <w:sz w:val="24"/>
          <w:szCs w:val="24"/>
          <w:lang w:eastAsia="en-US"/>
        </w:rPr>
      </w:pPr>
      <w:r w:rsidRPr="005C4714">
        <w:rPr>
          <w:rFonts w:ascii="Arial" w:eastAsia="Times New Roman" w:hAnsi="Arial" w:cs="Arial"/>
          <w:sz w:val="24"/>
          <w:szCs w:val="24"/>
        </w:rPr>
        <w:t>If no DBS within 12 months</w:t>
      </w:r>
      <w:r w:rsidR="00F54619" w:rsidRPr="005C4714">
        <w:rPr>
          <w:rFonts w:ascii="Arial" w:eastAsia="Times New Roman" w:hAnsi="Arial" w:cs="Arial"/>
          <w:sz w:val="24"/>
          <w:szCs w:val="24"/>
        </w:rPr>
        <w:t xml:space="preserve"> and / or </w:t>
      </w:r>
      <w:r w:rsidR="005C4714" w:rsidRPr="005C4714">
        <w:rPr>
          <w:rFonts w:ascii="Arial" w:eastAsia="Times New Roman" w:hAnsi="Arial" w:cs="Arial"/>
          <w:sz w:val="24"/>
          <w:szCs w:val="24"/>
        </w:rPr>
        <w:t xml:space="preserve">there are </w:t>
      </w:r>
      <w:r w:rsidR="00F54619" w:rsidRPr="005C4714">
        <w:rPr>
          <w:rFonts w:ascii="Arial" w:eastAsia="Times New Roman" w:hAnsi="Arial" w:cs="Arial"/>
          <w:sz w:val="24"/>
          <w:szCs w:val="24"/>
        </w:rPr>
        <w:t>gaps in service or missing references</w:t>
      </w:r>
      <w:r w:rsidRPr="005C4714">
        <w:rPr>
          <w:rFonts w:ascii="Arial" w:eastAsia="Times New Roman" w:hAnsi="Arial" w:cs="Arial"/>
          <w:sz w:val="24"/>
          <w:szCs w:val="24"/>
        </w:rPr>
        <w:t xml:space="preserve">, a </w:t>
      </w:r>
      <w:r w:rsidRPr="005C4714">
        <w:rPr>
          <w:rFonts w:ascii="Arial" w:eastAsia="Times New Roman" w:hAnsi="Arial" w:cs="Arial"/>
          <w:sz w:val="24"/>
          <w:szCs w:val="24"/>
          <w:lang w:eastAsia="en-US"/>
        </w:rPr>
        <w:t>DBS Risk assessment where a candidate’s DBS is older than 12 months (risk assessment can be found in the NCG criminal records check policy) (Only applicable for agency workers and not permanent job offers)</w:t>
      </w:r>
    </w:p>
    <w:p w:rsidR="008703BE" w:rsidRPr="005C4714" w:rsidRDefault="008703BE" w:rsidP="00F54619">
      <w:pPr>
        <w:pStyle w:val="ListParagraph"/>
        <w:numPr>
          <w:ilvl w:val="1"/>
          <w:numId w:val="1"/>
        </w:numPr>
        <w:rPr>
          <w:rFonts w:ascii="Arial" w:eastAsia="Times New Roman" w:hAnsi="Arial" w:cs="Arial"/>
          <w:sz w:val="24"/>
          <w:szCs w:val="24"/>
          <w:lang w:eastAsia="en-US"/>
        </w:rPr>
      </w:pPr>
      <w:r w:rsidRPr="005C4714">
        <w:rPr>
          <w:rFonts w:ascii="Arial" w:eastAsia="Times New Roman" w:hAnsi="Arial" w:cs="Arial"/>
          <w:sz w:val="24"/>
          <w:szCs w:val="24"/>
          <w:lang w:eastAsia="en-US"/>
        </w:rPr>
        <w:t>A DBS declaration form (appendix 2) (Only applicable for agency workers and not permanent job offers)</w:t>
      </w:r>
    </w:p>
    <w:p w:rsidR="00EA47A8" w:rsidRPr="005C4714" w:rsidRDefault="00EA47A8" w:rsidP="00F54619">
      <w:pPr>
        <w:spacing w:after="0" w:line="240" w:lineRule="auto"/>
        <w:rPr>
          <w:rFonts w:ascii="Arial" w:eastAsia="Times New Roman" w:hAnsi="Arial" w:cs="Arial"/>
          <w:sz w:val="24"/>
          <w:szCs w:val="24"/>
        </w:rPr>
      </w:pPr>
    </w:p>
    <w:p w:rsidR="006855C0" w:rsidRPr="005C4714" w:rsidRDefault="006855C0" w:rsidP="00F54619">
      <w:pPr>
        <w:pStyle w:val="ListParagraph"/>
        <w:numPr>
          <w:ilvl w:val="0"/>
          <w:numId w:val="1"/>
        </w:numPr>
        <w:rPr>
          <w:rFonts w:ascii="Arial" w:eastAsia="Times New Roman" w:hAnsi="Arial" w:cs="Arial"/>
          <w:sz w:val="24"/>
          <w:szCs w:val="24"/>
        </w:rPr>
      </w:pPr>
      <w:r w:rsidRPr="005C4714">
        <w:rPr>
          <w:rFonts w:ascii="Arial" w:eastAsia="Times New Roman" w:hAnsi="Arial" w:cs="Arial"/>
          <w:sz w:val="24"/>
          <w:szCs w:val="24"/>
        </w:rPr>
        <w:t xml:space="preserve">If the assignment is for longer than 2 weeks, Morgan Hunt will continue to source candidates until the vacancy is filled.  </w:t>
      </w:r>
    </w:p>
    <w:p w:rsidR="006855C0" w:rsidRPr="005C4714" w:rsidRDefault="006855C0" w:rsidP="00F54619">
      <w:pPr>
        <w:pStyle w:val="ListParagraph"/>
        <w:numPr>
          <w:ilvl w:val="0"/>
          <w:numId w:val="1"/>
        </w:numPr>
        <w:rPr>
          <w:rFonts w:ascii="Arial" w:eastAsia="Times New Roman" w:hAnsi="Arial" w:cs="Arial"/>
          <w:sz w:val="24"/>
          <w:szCs w:val="24"/>
        </w:rPr>
      </w:pPr>
      <w:r w:rsidRPr="005C4714">
        <w:rPr>
          <w:rFonts w:ascii="Arial" w:eastAsia="Times New Roman" w:hAnsi="Arial" w:cs="Arial"/>
          <w:sz w:val="24"/>
          <w:szCs w:val="24"/>
        </w:rPr>
        <w:t>If the same candidate is presented to us by two separate agencies, the agency who presents the candidate first with full pre-employment checks</w:t>
      </w:r>
      <w:r w:rsidR="001B295A" w:rsidRPr="005C4714">
        <w:rPr>
          <w:rFonts w:ascii="Arial" w:eastAsia="Times New Roman" w:hAnsi="Arial" w:cs="Arial"/>
          <w:sz w:val="24"/>
          <w:szCs w:val="24"/>
        </w:rPr>
        <w:t xml:space="preserve"> in place</w:t>
      </w:r>
      <w:r w:rsidRPr="005C4714">
        <w:rPr>
          <w:rFonts w:ascii="Arial" w:eastAsia="Times New Roman" w:hAnsi="Arial" w:cs="Arial"/>
          <w:sz w:val="24"/>
          <w:szCs w:val="24"/>
        </w:rPr>
        <w:t>, should be used (even if this is outside Morgan Hunt and their supply chain).</w:t>
      </w:r>
    </w:p>
    <w:p w:rsidR="006855C0" w:rsidRPr="005C4714" w:rsidRDefault="00AF3E97" w:rsidP="00F54619">
      <w:pPr>
        <w:pStyle w:val="ListParagraph"/>
        <w:numPr>
          <w:ilvl w:val="0"/>
          <w:numId w:val="1"/>
        </w:numPr>
        <w:rPr>
          <w:rFonts w:ascii="Arial" w:eastAsia="Times New Roman" w:hAnsi="Arial" w:cs="Arial"/>
          <w:sz w:val="24"/>
          <w:szCs w:val="24"/>
        </w:rPr>
      </w:pPr>
      <w:r w:rsidRPr="005C4714">
        <w:rPr>
          <w:rFonts w:ascii="Arial" w:eastAsia="Times New Roman" w:hAnsi="Arial" w:cs="Arial"/>
          <w:sz w:val="24"/>
          <w:szCs w:val="24"/>
        </w:rPr>
        <w:t>If you are approached by another agency offering candidates at any time, you should advise them we are under contract</w:t>
      </w:r>
      <w:r w:rsidR="003B3F9C" w:rsidRPr="005C4714">
        <w:rPr>
          <w:rFonts w:ascii="Arial" w:eastAsia="Times New Roman" w:hAnsi="Arial" w:cs="Arial"/>
          <w:sz w:val="24"/>
          <w:szCs w:val="24"/>
        </w:rPr>
        <w:t xml:space="preserve"> to Morgan Hunt</w:t>
      </w:r>
      <w:r w:rsidRPr="005C4714">
        <w:rPr>
          <w:rFonts w:ascii="Arial" w:eastAsia="Times New Roman" w:hAnsi="Arial" w:cs="Arial"/>
          <w:sz w:val="24"/>
          <w:szCs w:val="24"/>
        </w:rPr>
        <w:t>, and should they wish to work with NCG, they will need to be part of the Morgan Hunt supply chain.  Please pass details of the agencies interested in working with NCG to Morgan Hunt’s Account Manager, Steph Nyberg to negotiate joining their supply chain.</w:t>
      </w:r>
    </w:p>
    <w:p w:rsidR="006855C0" w:rsidRPr="005C4714" w:rsidRDefault="006855C0" w:rsidP="00F54619">
      <w:pPr>
        <w:pStyle w:val="ListParagraph"/>
        <w:numPr>
          <w:ilvl w:val="0"/>
          <w:numId w:val="1"/>
        </w:numPr>
        <w:rPr>
          <w:rFonts w:ascii="Arial" w:eastAsia="Times New Roman" w:hAnsi="Arial" w:cs="Arial"/>
          <w:sz w:val="24"/>
          <w:szCs w:val="24"/>
        </w:rPr>
      </w:pPr>
      <w:r w:rsidRPr="005C4714">
        <w:rPr>
          <w:rFonts w:ascii="Arial" w:eastAsia="Times New Roman" w:hAnsi="Arial" w:cs="Arial"/>
          <w:sz w:val="24"/>
          <w:szCs w:val="24"/>
        </w:rPr>
        <w:t xml:space="preserve">If the assignment is for 2 weeks or less, and an alternative agency is used, if the assignment needs to be extended for a further </w:t>
      </w:r>
      <w:r w:rsidR="00EE3749" w:rsidRPr="005C4714">
        <w:rPr>
          <w:rFonts w:ascii="Arial" w:eastAsia="Times New Roman" w:hAnsi="Arial" w:cs="Arial"/>
          <w:sz w:val="24"/>
          <w:szCs w:val="24"/>
        </w:rPr>
        <w:t>short-term</w:t>
      </w:r>
      <w:r w:rsidRPr="005C4714">
        <w:rPr>
          <w:rFonts w:ascii="Arial" w:eastAsia="Times New Roman" w:hAnsi="Arial" w:cs="Arial"/>
          <w:sz w:val="24"/>
          <w:szCs w:val="24"/>
        </w:rPr>
        <w:t xml:space="preserve"> period of up to 4 weeks, subject to availability of the agency worker, the agency worker can continue through the alternative agency.</w:t>
      </w:r>
    </w:p>
    <w:p w:rsidR="00AF3E97" w:rsidRPr="00B9492E" w:rsidRDefault="00EE3749" w:rsidP="00F54619">
      <w:pPr>
        <w:pStyle w:val="ListParagraph"/>
        <w:numPr>
          <w:ilvl w:val="0"/>
          <w:numId w:val="1"/>
        </w:numPr>
        <w:rPr>
          <w:rFonts w:ascii="Arial" w:eastAsia="Times New Roman" w:hAnsi="Arial" w:cs="Arial"/>
          <w:color w:val="000000" w:themeColor="text1"/>
          <w:sz w:val="24"/>
          <w:szCs w:val="24"/>
        </w:rPr>
      </w:pPr>
      <w:r w:rsidRPr="005C4714">
        <w:rPr>
          <w:rFonts w:ascii="Arial" w:eastAsia="Times New Roman" w:hAnsi="Arial" w:cs="Arial"/>
          <w:sz w:val="24"/>
          <w:szCs w:val="24"/>
        </w:rPr>
        <w:t>If the assignment was for less than 2 weeks, and needs to be extended beyond 4 weeks, a new assignment should be raised in Talent</w:t>
      </w:r>
      <w:r w:rsidR="001B295A" w:rsidRPr="005C4714">
        <w:rPr>
          <w:rFonts w:ascii="Arial" w:eastAsia="Times New Roman" w:hAnsi="Arial" w:cs="Arial"/>
          <w:sz w:val="24"/>
          <w:szCs w:val="24"/>
        </w:rPr>
        <w:t xml:space="preserve"> </w:t>
      </w:r>
      <w:r w:rsidRPr="005C4714">
        <w:rPr>
          <w:rFonts w:ascii="Arial" w:eastAsia="Times New Roman" w:hAnsi="Arial" w:cs="Arial"/>
          <w:sz w:val="24"/>
          <w:szCs w:val="24"/>
        </w:rPr>
        <w:t xml:space="preserve">room.  Until </w:t>
      </w:r>
      <w:r w:rsidRPr="00B9492E">
        <w:rPr>
          <w:rFonts w:ascii="Arial" w:eastAsia="Times New Roman" w:hAnsi="Arial" w:cs="Arial"/>
          <w:color w:val="000000" w:themeColor="text1"/>
          <w:sz w:val="24"/>
          <w:szCs w:val="24"/>
        </w:rPr>
        <w:t>such time as the vacancy is filled, the candidate supplied can continue, until the vacancy has been filled (but no more than 2 weeks).</w:t>
      </w:r>
    </w:p>
    <w:p w:rsidR="003309A5" w:rsidRPr="00B9492E" w:rsidRDefault="003309A5" w:rsidP="00F54619">
      <w:pPr>
        <w:pStyle w:val="ListParagraph"/>
        <w:numPr>
          <w:ilvl w:val="0"/>
          <w:numId w:val="1"/>
        </w:numPr>
        <w:rPr>
          <w:rFonts w:ascii="Arial" w:eastAsia="Times New Roman" w:hAnsi="Arial" w:cs="Arial"/>
          <w:color w:val="000000" w:themeColor="text1"/>
          <w:sz w:val="24"/>
          <w:szCs w:val="24"/>
        </w:rPr>
      </w:pPr>
      <w:r w:rsidRPr="00B9492E">
        <w:rPr>
          <w:rFonts w:ascii="Arial" w:eastAsia="Times New Roman" w:hAnsi="Arial" w:cs="Arial"/>
          <w:color w:val="000000" w:themeColor="text1"/>
          <w:sz w:val="24"/>
          <w:szCs w:val="24"/>
        </w:rPr>
        <w:t xml:space="preserve">If an assignment is due to complete within 2 weeks and the candidate is required beyond this period, a new assignment should be raised in </w:t>
      </w:r>
      <w:proofErr w:type="spellStart"/>
      <w:r w:rsidRPr="00B9492E">
        <w:rPr>
          <w:rFonts w:ascii="Arial" w:eastAsia="Times New Roman" w:hAnsi="Arial" w:cs="Arial"/>
          <w:color w:val="000000" w:themeColor="text1"/>
          <w:sz w:val="24"/>
          <w:szCs w:val="24"/>
        </w:rPr>
        <w:t>Talentroom</w:t>
      </w:r>
      <w:proofErr w:type="spellEnd"/>
      <w:r w:rsidRPr="00B9492E">
        <w:rPr>
          <w:rFonts w:ascii="Arial" w:eastAsia="Times New Roman" w:hAnsi="Arial" w:cs="Arial"/>
          <w:color w:val="000000" w:themeColor="text1"/>
          <w:sz w:val="24"/>
          <w:szCs w:val="24"/>
        </w:rPr>
        <w:t>, so that the agency worker vacancy can be approved by the appropriate approver.  Hiring Managers should not make any commitment to the agency worker about any extension to their assignment, except to check that the individual may be interested in an extension.  Morgan Hunt will speak to the candidate once the necessary approvals have been sought.</w:t>
      </w:r>
    </w:p>
    <w:p w:rsidR="00AF3E97" w:rsidRPr="00B9492E" w:rsidRDefault="00FC43EB" w:rsidP="00F54619">
      <w:pPr>
        <w:pStyle w:val="ListParagraph"/>
        <w:numPr>
          <w:ilvl w:val="0"/>
          <w:numId w:val="1"/>
        </w:numPr>
        <w:rPr>
          <w:rFonts w:ascii="Arial" w:eastAsia="Times New Roman" w:hAnsi="Arial" w:cs="Arial"/>
          <w:color w:val="000000" w:themeColor="text1"/>
          <w:sz w:val="24"/>
          <w:szCs w:val="24"/>
        </w:rPr>
      </w:pPr>
      <w:r w:rsidRPr="00B9492E">
        <w:rPr>
          <w:rFonts w:ascii="Arial" w:eastAsia="Times New Roman" w:hAnsi="Arial" w:cs="Arial"/>
          <w:color w:val="000000" w:themeColor="text1"/>
          <w:sz w:val="24"/>
          <w:szCs w:val="24"/>
        </w:rPr>
        <w:t>If</w:t>
      </w:r>
      <w:r w:rsidR="007F5B70" w:rsidRPr="00B9492E">
        <w:rPr>
          <w:rFonts w:ascii="Arial" w:eastAsia="Times New Roman" w:hAnsi="Arial" w:cs="Arial"/>
          <w:color w:val="000000" w:themeColor="text1"/>
          <w:sz w:val="24"/>
          <w:szCs w:val="24"/>
        </w:rPr>
        <w:t>, af</w:t>
      </w:r>
      <w:r w:rsidRPr="00B9492E">
        <w:rPr>
          <w:rFonts w:ascii="Arial" w:eastAsia="Times New Roman" w:hAnsi="Arial" w:cs="Arial"/>
          <w:color w:val="000000" w:themeColor="text1"/>
          <w:sz w:val="24"/>
          <w:szCs w:val="24"/>
        </w:rPr>
        <w:t xml:space="preserve">ter </w:t>
      </w:r>
      <w:r w:rsidR="00AF3E97" w:rsidRPr="00B9492E">
        <w:rPr>
          <w:rFonts w:ascii="Arial" w:eastAsia="Times New Roman" w:hAnsi="Arial" w:cs="Arial"/>
          <w:color w:val="000000" w:themeColor="text1"/>
          <w:sz w:val="24"/>
          <w:szCs w:val="24"/>
        </w:rPr>
        <w:t>approaching their supply chain,</w:t>
      </w:r>
      <w:r w:rsidRPr="00B9492E">
        <w:rPr>
          <w:rFonts w:ascii="Arial" w:eastAsia="Times New Roman" w:hAnsi="Arial" w:cs="Arial"/>
          <w:color w:val="000000" w:themeColor="text1"/>
          <w:sz w:val="24"/>
          <w:szCs w:val="24"/>
        </w:rPr>
        <w:t xml:space="preserve"> there </w:t>
      </w:r>
      <w:r w:rsidR="004F5B50" w:rsidRPr="00B9492E">
        <w:rPr>
          <w:rFonts w:ascii="Arial" w:eastAsia="Times New Roman" w:hAnsi="Arial" w:cs="Arial"/>
          <w:color w:val="000000" w:themeColor="text1"/>
          <w:sz w:val="24"/>
          <w:szCs w:val="24"/>
        </w:rPr>
        <w:t xml:space="preserve">are </w:t>
      </w:r>
      <w:r w:rsidRPr="00B9492E">
        <w:rPr>
          <w:rFonts w:ascii="Arial" w:eastAsia="Times New Roman" w:hAnsi="Arial" w:cs="Arial"/>
          <w:color w:val="000000" w:themeColor="text1"/>
          <w:sz w:val="24"/>
          <w:szCs w:val="24"/>
        </w:rPr>
        <w:t>no suitable candidates</w:t>
      </w:r>
      <w:r w:rsidR="007F5B70" w:rsidRPr="00B9492E">
        <w:rPr>
          <w:rFonts w:ascii="Arial" w:eastAsia="Times New Roman" w:hAnsi="Arial" w:cs="Arial"/>
          <w:color w:val="000000" w:themeColor="text1"/>
          <w:sz w:val="24"/>
          <w:szCs w:val="24"/>
        </w:rPr>
        <w:t>,</w:t>
      </w:r>
      <w:r w:rsidRPr="00B9492E">
        <w:rPr>
          <w:rFonts w:ascii="Arial" w:eastAsia="Times New Roman" w:hAnsi="Arial" w:cs="Arial"/>
          <w:color w:val="000000" w:themeColor="text1"/>
          <w:sz w:val="24"/>
          <w:szCs w:val="24"/>
        </w:rPr>
        <w:t xml:space="preserve"> we can consider going </w:t>
      </w:r>
      <w:r w:rsidR="007F5B70" w:rsidRPr="00B9492E">
        <w:rPr>
          <w:rFonts w:ascii="Arial" w:eastAsia="Times New Roman" w:hAnsi="Arial" w:cs="Arial"/>
          <w:color w:val="000000" w:themeColor="text1"/>
          <w:sz w:val="24"/>
          <w:szCs w:val="24"/>
        </w:rPr>
        <w:t>to other agencies</w:t>
      </w:r>
      <w:r w:rsidR="00AF3E97" w:rsidRPr="00B9492E">
        <w:rPr>
          <w:rFonts w:ascii="Arial" w:eastAsia="Times New Roman" w:hAnsi="Arial" w:cs="Arial"/>
          <w:color w:val="000000" w:themeColor="text1"/>
          <w:sz w:val="24"/>
          <w:szCs w:val="24"/>
        </w:rPr>
        <w:t xml:space="preserve"> outside Morgan Hunt</w:t>
      </w:r>
      <w:r w:rsidR="007F5B70" w:rsidRPr="00B9492E">
        <w:rPr>
          <w:rFonts w:ascii="Arial" w:eastAsia="Times New Roman" w:hAnsi="Arial" w:cs="Arial"/>
          <w:color w:val="000000" w:themeColor="text1"/>
          <w:sz w:val="24"/>
          <w:szCs w:val="24"/>
        </w:rPr>
        <w:t xml:space="preserve">. </w:t>
      </w:r>
    </w:p>
    <w:p w:rsidR="003B3F9C" w:rsidRPr="00B9492E" w:rsidRDefault="003B3F9C" w:rsidP="00F54619">
      <w:pPr>
        <w:pStyle w:val="ListParagraph"/>
        <w:numPr>
          <w:ilvl w:val="0"/>
          <w:numId w:val="1"/>
        </w:numPr>
        <w:rPr>
          <w:rFonts w:ascii="Arial" w:eastAsia="Times New Roman" w:hAnsi="Arial" w:cs="Arial"/>
          <w:color w:val="000000" w:themeColor="text1"/>
          <w:sz w:val="24"/>
          <w:szCs w:val="24"/>
        </w:rPr>
      </w:pPr>
      <w:r w:rsidRPr="00B9492E">
        <w:rPr>
          <w:rFonts w:ascii="Arial" w:eastAsia="Times New Roman" w:hAnsi="Arial" w:cs="Arial"/>
          <w:color w:val="000000" w:themeColor="text1"/>
          <w:sz w:val="24"/>
          <w:szCs w:val="24"/>
        </w:rPr>
        <w:t>If you have used an alternate agency in the past, or used an agency worker, who you have been happy with in the past, please provide this information to the Morgan Hunt Account Manager, who will approach the agency or head hunt the agency worker to see if they are interested</w:t>
      </w:r>
      <w:r w:rsidR="00EE3749" w:rsidRPr="00B9492E">
        <w:rPr>
          <w:rFonts w:ascii="Arial" w:eastAsia="Times New Roman" w:hAnsi="Arial" w:cs="Arial"/>
          <w:color w:val="000000" w:themeColor="text1"/>
          <w:sz w:val="24"/>
          <w:szCs w:val="24"/>
        </w:rPr>
        <w:t xml:space="preserve"> in providing services to NCG either as an agency worker, permanent employee, or bank staff</w:t>
      </w:r>
      <w:r w:rsidRPr="00B9492E">
        <w:rPr>
          <w:rFonts w:ascii="Arial" w:eastAsia="Times New Roman" w:hAnsi="Arial" w:cs="Arial"/>
          <w:color w:val="000000" w:themeColor="text1"/>
          <w:sz w:val="24"/>
          <w:szCs w:val="24"/>
        </w:rPr>
        <w:t>.</w:t>
      </w:r>
    </w:p>
    <w:p w:rsidR="00FC43EB" w:rsidRPr="00B9492E" w:rsidRDefault="003B3F9C" w:rsidP="00F54619">
      <w:pPr>
        <w:pStyle w:val="ListParagraph"/>
        <w:numPr>
          <w:ilvl w:val="0"/>
          <w:numId w:val="1"/>
        </w:numPr>
        <w:rPr>
          <w:rFonts w:ascii="Arial" w:eastAsia="Times New Roman" w:hAnsi="Arial" w:cs="Arial"/>
          <w:color w:val="000000" w:themeColor="text1"/>
          <w:sz w:val="24"/>
          <w:szCs w:val="24"/>
        </w:rPr>
      </w:pPr>
      <w:r w:rsidRPr="00B9492E">
        <w:rPr>
          <w:rFonts w:ascii="Arial" w:eastAsia="Times New Roman" w:hAnsi="Arial" w:cs="Arial"/>
          <w:color w:val="000000" w:themeColor="text1"/>
          <w:sz w:val="24"/>
          <w:szCs w:val="24"/>
        </w:rPr>
        <w:t>The</w:t>
      </w:r>
      <w:r w:rsidR="00DF51BE" w:rsidRPr="00B9492E">
        <w:rPr>
          <w:rFonts w:ascii="Arial" w:eastAsia="Times New Roman" w:hAnsi="Arial" w:cs="Arial"/>
          <w:color w:val="000000" w:themeColor="text1"/>
          <w:sz w:val="24"/>
          <w:szCs w:val="24"/>
        </w:rPr>
        <w:t xml:space="preserve"> </w:t>
      </w:r>
      <w:r w:rsidRPr="00B9492E">
        <w:rPr>
          <w:rFonts w:ascii="Arial" w:eastAsia="Times New Roman" w:hAnsi="Arial" w:cs="Arial"/>
          <w:color w:val="000000" w:themeColor="text1"/>
          <w:sz w:val="24"/>
          <w:szCs w:val="24"/>
        </w:rPr>
        <w:t xml:space="preserve">Morgan Hunt Account Manager </w:t>
      </w:r>
      <w:r w:rsidR="00DF51BE" w:rsidRPr="00B9492E">
        <w:rPr>
          <w:rFonts w:ascii="Arial" w:eastAsia="Times New Roman" w:hAnsi="Arial" w:cs="Arial"/>
          <w:color w:val="000000" w:themeColor="text1"/>
          <w:sz w:val="24"/>
          <w:szCs w:val="24"/>
        </w:rPr>
        <w:t xml:space="preserve">will </w:t>
      </w:r>
      <w:r w:rsidR="00FC43EB" w:rsidRPr="00B9492E">
        <w:rPr>
          <w:rFonts w:ascii="Arial" w:eastAsia="Times New Roman" w:hAnsi="Arial" w:cs="Arial"/>
          <w:color w:val="000000" w:themeColor="text1"/>
          <w:sz w:val="24"/>
          <w:szCs w:val="24"/>
        </w:rPr>
        <w:t>the</w:t>
      </w:r>
      <w:r w:rsidRPr="00B9492E">
        <w:rPr>
          <w:rFonts w:ascii="Arial" w:eastAsia="Times New Roman" w:hAnsi="Arial" w:cs="Arial"/>
          <w:color w:val="000000" w:themeColor="text1"/>
          <w:sz w:val="24"/>
          <w:szCs w:val="24"/>
        </w:rPr>
        <w:t>n</w:t>
      </w:r>
      <w:r w:rsidR="00FC43EB" w:rsidRPr="00B9492E">
        <w:rPr>
          <w:rFonts w:ascii="Arial" w:eastAsia="Times New Roman" w:hAnsi="Arial" w:cs="Arial"/>
          <w:color w:val="000000" w:themeColor="text1"/>
          <w:sz w:val="24"/>
          <w:szCs w:val="24"/>
        </w:rPr>
        <w:t xml:space="preserve"> negotiate </w:t>
      </w:r>
      <w:r w:rsidR="004F5B50" w:rsidRPr="00B9492E">
        <w:rPr>
          <w:rFonts w:ascii="Arial" w:eastAsia="Times New Roman" w:hAnsi="Arial" w:cs="Arial"/>
          <w:color w:val="000000" w:themeColor="text1"/>
          <w:sz w:val="24"/>
          <w:szCs w:val="24"/>
        </w:rPr>
        <w:t xml:space="preserve">the best possible terms </w:t>
      </w:r>
      <w:r w:rsidRPr="00B9492E">
        <w:rPr>
          <w:rFonts w:ascii="Arial" w:eastAsia="Times New Roman" w:hAnsi="Arial" w:cs="Arial"/>
          <w:color w:val="000000" w:themeColor="text1"/>
          <w:sz w:val="24"/>
          <w:szCs w:val="24"/>
        </w:rPr>
        <w:t xml:space="preserve">with the agency on behalf of NCG </w:t>
      </w:r>
      <w:r w:rsidR="00DF51BE" w:rsidRPr="00B9492E">
        <w:rPr>
          <w:rFonts w:ascii="Arial" w:eastAsia="Times New Roman" w:hAnsi="Arial" w:cs="Arial"/>
          <w:color w:val="000000" w:themeColor="text1"/>
          <w:sz w:val="24"/>
          <w:szCs w:val="24"/>
        </w:rPr>
        <w:t xml:space="preserve">and </w:t>
      </w:r>
      <w:r w:rsidRPr="00B9492E">
        <w:rPr>
          <w:rFonts w:ascii="Arial" w:eastAsia="Times New Roman" w:hAnsi="Arial" w:cs="Arial"/>
          <w:color w:val="000000" w:themeColor="text1"/>
          <w:sz w:val="24"/>
          <w:szCs w:val="24"/>
        </w:rPr>
        <w:t xml:space="preserve">ensure that candidates proposed meet the </w:t>
      </w:r>
      <w:r w:rsidR="00DF51BE" w:rsidRPr="00B9492E">
        <w:rPr>
          <w:rFonts w:ascii="Arial" w:eastAsia="Times New Roman" w:hAnsi="Arial" w:cs="Arial"/>
          <w:color w:val="000000" w:themeColor="text1"/>
          <w:sz w:val="24"/>
          <w:szCs w:val="24"/>
        </w:rPr>
        <w:t>required compliance checks</w:t>
      </w:r>
      <w:r w:rsidRPr="00B9492E">
        <w:rPr>
          <w:rFonts w:ascii="Arial" w:eastAsia="Times New Roman" w:hAnsi="Arial" w:cs="Arial"/>
          <w:color w:val="000000" w:themeColor="text1"/>
          <w:sz w:val="24"/>
          <w:szCs w:val="24"/>
        </w:rPr>
        <w:t>.</w:t>
      </w:r>
    </w:p>
    <w:p w:rsidR="00EE3749" w:rsidRPr="00B9492E" w:rsidRDefault="00EE3749" w:rsidP="00F54619">
      <w:pPr>
        <w:pStyle w:val="ListParagraph"/>
        <w:numPr>
          <w:ilvl w:val="0"/>
          <w:numId w:val="1"/>
        </w:numPr>
        <w:rPr>
          <w:rFonts w:ascii="Arial" w:eastAsia="Times New Roman" w:hAnsi="Arial" w:cs="Arial"/>
          <w:color w:val="000000" w:themeColor="text1"/>
          <w:sz w:val="24"/>
          <w:szCs w:val="24"/>
        </w:rPr>
      </w:pPr>
      <w:r w:rsidRPr="00B9492E">
        <w:rPr>
          <w:rFonts w:ascii="Arial" w:eastAsia="Times New Roman" w:hAnsi="Arial" w:cs="Arial"/>
          <w:color w:val="000000" w:themeColor="text1"/>
          <w:sz w:val="24"/>
          <w:szCs w:val="24"/>
        </w:rPr>
        <w:t>As and when candidates finish assignments and we are happy with their performance, unless they become permanent employees, Morgan Hunt will discuss joining NCG’s Bank, so we have a pool of temporary workers available to work at short notice to fill staff timetabled shortages.</w:t>
      </w:r>
    </w:p>
    <w:p w:rsidR="00FC43EB" w:rsidRPr="00B9492E" w:rsidRDefault="00FC43EB" w:rsidP="00F54619">
      <w:pPr>
        <w:pStyle w:val="ListParagraph"/>
        <w:numPr>
          <w:ilvl w:val="0"/>
          <w:numId w:val="1"/>
        </w:numPr>
        <w:rPr>
          <w:rFonts w:ascii="Arial" w:eastAsia="Times New Roman" w:hAnsi="Arial" w:cs="Arial"/>
          <w:color w:val="000000" w:themeColor="text1"/>
          <w:sz w:val="24"/>
          <w:szCs w:val="24"/>
        </w:rPr>
      </w:pPr>
      <w:r w:rsidRPr="00B9492E">
        <w:rPr>
          <w:rFonts w:ascii="Arial" w:eastAsia="Times New Roman" w:hAnsi="Arial" w:cs="Arial"/>
          <w:color w:val="000000" w:themeColor="text1"/>
          <w:sz w:val="24"/>
          <w:szCs w:val="24"/>
        </w:rPr>
        <w:t xml:space="preserve">All contact should be </w:t>
      </w:r>
      <w:r w:rsidR="003B3F9C" w:rsidRPr="00B9492E">
        <w:rPr>
          <w:rFonts w:ascii="Arial" w:eastAsia="Times New Roman" w:hAnsi="Arial" w:cs="Arial"/>
          <w:color w:val="000000" w:themeColor="text1"/>
          <w:sz w:val="24"/>
          <w:szCs w:val="24"/>
        </w:rPr>
        <w:t>initiated by</w:t>
      </w:r>
      <w:r w:rsidR="004F5B50" w:rsidRPr="00B9492E">
        <w:rPr>
          <w:rFonts w:ascii="Arial" w:eastAsia="Times New Roman" w:hAnsi="Arial" w:cs="Arial"/>
          <w:color w:val="000000" w:themeColor="text1"/>
          <w:sz w:val="24"/>
          <w:szCs w:val="24"/>
        </w:rPr>
        <w:t xml:space="preserve"> </w:t>
      </w:r>
      <w:r w:rsidRPr="00B9492E">
        <w:rPr>
          <w:rFonts w:ascii="Arial" w:eastAsia="Times New Roman" w:hAnsi="Arial" w:cs="Arial"/>
          <w:color w:val="000000" w:themeColor="text1"/>
          <w:sz w:val="24"/>
          <w:szCs w:val="24"/>
        </w:rPr>
        <w:t>M</w:t>
      </w:r>
      <w:r w:rsidR="004F5B50" w:rsidRPr="00B9492E">
        <w:rPr>
          <w:rFonts w:ascii="Arial" w:eastAsia="Times New Roman" w:hAnsi="Arial" w:cs="Arial"/>
          <w:color w:val="000000" w:themeColor="text1"/>
          <w:sz w:val="24"/>
          <w:szCs w:val="24"/>
        </w:rPr>
        <w:t xml:space="preserve">organ </w:t>
      </w:r>
      <w:r w:rsidRPr="00B9492E">
        <w:rPr>
          <w:rFonts w:ascii="Arial" w:eastAsia="Times New Roman" w:hAnsi="Arial" w:cs="Arial"/>
          <w:color w:val="000000" w:themeColor="text1"/>
          <w:sz w:val="24"/>
          <w:szCs w:val="24"/>
        </w:rPr>
        <w:t>H</w:t>
      </w:r>
      <w:r w:rsidR="004F5B50" w:rsidRPr="00B9492E">
        <w:rPr>
          <w:rFonts w:ascii="Arial" w:eastAsia="Times New Roman" w:hAnsi="Arial" w:cs="Arial"/>
          <w:color w:val="000000" w:themeColor="text1"/>
          <w:sz w:val="24"/>
          <w:szCs w:val="24"/>
        </w:rPr>
        <w:t>unt</w:t>
      </w:r>
      <w:r w:rsidRPr="00B9492E">
        <w:rPr>
          <w:rFonts w:ascii="Arial" w:eastAsia="Times New Roman" w:hAnsi="Arial" w:cs="Arial"/>
          <w:color w:val="000000" w:themeColor="text1"/>
          <w:sz w:val="24"/>
          <w:szCs w:val="24"/>
        </w:rPr>
        <w:t xml:space="preserve"> </w:t>
      </w:r>
      <w:r w:rsidR="00DC32BE" w:rsidRPr="00B9492E">
        <w:rPr>
          <w:rFonts w:ascii="Arial" w:eastAsia="Times New Roman" w:hAnsi="Arial" w:cs="Arial"/>
          <w:color w:val="000000" w:themeColor="text1"/>
          <w:sz w:val="24"/>
          <w:szCs w:val="24"/>
        </w:rPr>
        <w:t>as</w:t>
      </w:r>
      <w:r w:rsidRPr="00B9492E">
        <w:rPr>
          <w:rFonts w:ascii="Arial" w:eastAsia="Times New Roman" w:hAnsi="Arial" w:cs="Arial"/>
          <w:color w:val="000000" w:themeColor="text1"/>
          <w:sz w:val="24"/>
          <w:szCs w:val="24"/>
        </w:rPr>
        <w:t xml:space="preserve"> no </w:t>
      </w:r>
      <w:r w:rsidR="00DC32BE" w:rsidRPr="00B9492E">
        <w:rPr>
          <w:rFonts w:ascii="Arial" w:eastAsia="Times New Roman" w:hAnsi="Arial" w:cs="Arial"/>
          <w:color w:val="000000" w:themeColor="text1"/>
          <w:sz w:val="24"/>
          <w:szCs w:val="24"/>
        </w:rPr>
        <w:t xml:space="preserve">other </w:t>
      </w:r>
      <w:r w:rsidRPr="00B9492E">
        <w:rPr>
          <w:rFonts w:ascii="Arial" w:eastAsia="Times New Roman" w:hAnsi="Arial" w:cs="Arial"/>
          <w:color w:val="000000" w:themeColor="text1"/>
          <w:sz w:val="24"/>
          <w:szCs w:val="24"/>
        </w:rPr>
        <w:t xml:space="preserve">agencies are set up on the </w:t>
      </w:r>
      <w:r w:rsidR="004F5B50" w:rsidRPr="00B9492E">
        <w:rPr>
          <w:rFonts w:ascii="Arial" w:eastAsia="Times New Roman" w:hAnsi="Arial" w:cs="Arial"/>
          <w:color w:val="000000" w:themeColor="text1"/>
          <w:sz w:val="24"/>
          <w:szCs w:val="24"/>
        </w:rPr>
        <w:t xml:space="preserve">eProcurement </w:t>
      </w:r>
      <w:r w:rsidRPr="00B9492E">
        <w:rPr>
          <w:rFonts w:ascii="Arial" w:eastAsia="Times New Roman" w:hAnsi="Arial" w:cs="Arial"/>
          <w:color w:val="000000" w:themeColor="text1"/>
          <w:sz w:val="24"/>
          <w:szCs w:val="24"/>
        </w:rPr>
        <w:t>to be paid.</w:t>
      </w:r>
    </w:p>
    <w:p w:rsidR="003309A5" w:rsidRPr="00B9492E" w:rsidRDefault="003309A5" w:rsidP="00D17B24">
      <w:pPr>
        <w:pStyle w:val="ListParagraph"/>
        <w:numPr>
          <w:ilvl w:val="0"/>
          <w:numId w:val="1"/>
        </w:numPr>
        <w:rPr>
          <w:rFonts w:ascii="Arial" w:eastAsia="Times New Roman" w:hAnsi="Arial" w:cs="Arial"/>
          <w:b/>
          <w:color w:val="000000" w:themeColor="text1"/>
          <w:sz w:val="24"/>
          <w:szCs w:val="24"/>
        </w:rPr>
      </w:pPr>
      <w:r w:rsidRPr="00B9492E">
        <w:rPr>
          <w:rFonts w:ascii="Arial" w:eastAsia="Times New Roman" w:hAnsi="Arial" w:cs="Arial"/>
          <w:color w:val="000000" w:themeColor="text1"/>
          <w:sz w:val="24"/>
          <w:szCs w:val="24"/>
        </w:rPr>
        <w:t xml:space="preserve">No agency workers should be on-site without being placed by Morgan Hunt following the assignment being approved in </w:t>
      </w:r>
      <w:proofErr w:type="spellStart"/>
      <w:r w:rsidRPr="00B9492E">
        <w:rPr>
          <w:rFonts w:ascii="Arial" w:eastAsia="Times New Roman" w:hAnsi="Arial" w:cs="Arial"/>
          <w:color w:val="000000" w:themeColor="text1"/>
          <w:sz w:val="24"/>
          <w:szCs w:val="24"/>
        </w:rPr>
        <w:t>Talentroom</w:t>
      </w:r>
      <w:proofErr w:type="spellEnd"/>
      <w:r w:rsidRPr="00B9492E">
        <w:rPr>
          <w:rFonts w:ascii="Arial" w:eastAsia="Times New Roman" w:hAnsi="Arial" w:cs="Arial"/>
          <w:color w:val="000000" w:themeColor="text1"/>
          <w:sz w:val="24"/>
          <w:szCs w:val="24"/>
        </w:rPr>
        <w:t xml:space="preserve"> and Morgan Hunt instructing the agency worker to join NCG on said date and for said period</w:t>
      </w:r>
      <w:r w:rsidR="004219AC" w:rsidRPr="00B9492E">
        <w:rPr>
          <w:rFonts w:ascii="Arial" w:eastAsia="Times New Roman" w:hAnsi="Arial" w:cs="Arial"/>
          <w:color w:val="000000" w:themeColor="text1"/>
          <w:sz w:val="24"/>
          <w:szCs w:val="24"/>
        </w:rPr>
        <w:t xml:space="preserve">. </w:t>
      </w:r>
      <w:r w:rsidR="004219AC" w:rsidRPr="00B9492E">
        <w:rPr>
          <w:rFonts w:ascii="Arial" w:hAnsi="Arial" w:cs="Arial"/>
          <w:color w:val="000000" w:themeColor="text1"/>
          <w:sz w:val="24"/>
          <w:szCs w:val="24"/>
        </w:rPr>
        <w:t>If a candidate starts work before the due process has been followed, no timesheet approval process will be in place for payment for work to be progressed. Line managers are responsible for ensuring this situation does not occur and that agency workers are paid in a timely manner for the work undertaken.</w:t>
      </w:r>
    </w:p>
    <w:p w:rsidR="004219AC" w:rsidRPr="00B9492E" w:rsidRDefault="004219AC" w:rsidP="004219AC">
      <w:pPr>
        <w:pStyle w:val="ListParagraph"/>
        <w:numPr>
          <w:ilvl w:val="0"/>
          <w:numId w:val="1"/>
        </w:numPr>
        <w:rPr>
          <w:rFonts w:ascii="Arial" w:hAnsi="Arial" w:cs="Arial"/>
          <w:color w:val="000000" w:themeColor="text1"/>
          <w:sz w:val="24"/>
          <w:szCs w:val="24"/>
        </w:rPr>
      </w:pPr>
      <w:r w:rsidRPr="00B9492E">
        <w:rPr>
          <w:rFonts w:ascii="Arial" w:hAnsi="Arial" w:cs="Arial"/>
          <w:color w:val="000000" w:themeColor="text1"/>
          <w:sz w:val="24"/>
          <w:szCs w:val="24"/>
        </w:rPr>
        <w:t>Please note, where the process outlined in this guide is not followed, this may be managed with in line with the relevant NCG Policy.</w:t>
      </w:r>
    </w:p>
    <w:p w:rsidR="004219AC" w:rsidRDefault="004219AC" w:rsidP="00F54619">
      <w:pPr>
        <w:spacing w:after="0" w:line="240" w:lineRule="auto"/>
        <w:rPr>
          <w:rFonts w:ascii="Arial" w:eastAsia="Times New Roman" w:hAnsi="Arial" w:cs="Arial"/>
          <w:b/>
          <w:sz w:val="24"/>
          <w:szCs w:val="24"/>
        </w:rPr>
      </w:pPr>
    </w:p>
    <w:p w:rsidR="00EE3749" w:rsidRPr="005C4714" w:rsidRDefault="00EE3749" w:rsidP="00F54619">
      <w:pPr>
        <w:spacing w:after="0" w:line="240" w:lineRule="auto"/>
        <w:rPr>
          <w:rFonts w:ascii="Arial" w:eastAsia="Times New Roman" w:hAnsi="Arial" w:cs="Arial"/>
          <w:sz w:val="24"/>
          <w:szCs w:val="24"/>
        </w:rPr>
      </w:pPr>
      <w:r w:rsidRPr="005C4714">
        <w:rPr>
          <w:rFonts w:ascii="Arial" w:eastAsia="Times New Roman" w:hAnsi="Arial" w:cs="Arial"/>
          <w:b/>
          <w:sz w:val="24"/>
          <w:szCs w:val="24"/>
        </w:rPr>
        <w:t>Current Supply Chain</w:t>
      </w:r>
    </w:p>
    <w:p w:rsidR="00EE3749" w:rsidRPr="005C4714" w:rsidRDefault="00EE3749" w:rsidP="00F54619">
      <w:pPr>
        <w:pStyle w:val="ListParagraph"/>
        <w:ind w:left="0"/>
        <w:jc w:val="both"/>
        <w:rPr>
          <w:rFonts w:ascii="Arial" w:eastAsia="Times New Roman" w:hAnsi="Arial" w:cs="Arial"/>
          <w:sz w:val="24"/>
          <w:szCs w:val="24"/>
        </w:rPr>
      </w:pPr>
      <w:r w:rsidRPr="005C4714">
        <w:rPr>
          <w:rFonts w:ascii="Arial" w:hAnsi="Arial" w:cs="Arial"/>
          <w:noProof/>
          <w:sz w:val="24"/>
          <w:szCs w:val="24"/>
        </w:rPr>
        <w:drawing>
          <wp:inline distT="0" distB="0" distL="0" distR="0" wp14:anchorId="14064DC9" wp14:editId="50E2DA8E">
            <wp:extent cx="5753100" cy="3305175"/>
            <wp:effectExtent l="0" t="0" r="0" b="9525"/>
            <wp:docPr id="2" name="Picture 2" descr="cid:image001.png@01D665C2.D0E72B80"/>
            <wp:cNvGraphicFramePr/>
            <a:graphic xmlns:a="http://schemas.openxmlformats.org/drawingml/2006/main">
              <a:graphicData uri="http://schemas.openxmlformats.org/drawingml/2006/picture">
                <pic:pic xmlns:pic="http://schemas.openxmlformats.org/drawingml/2006/picture">
                  <pic:nvPicPr>
                    <pic:cNvPr id="2" name="Picture 2" descr="cid:image001.png@01D665C2.D0E72B80"/>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753100" cy="3305175"/>
                    </a:xfrm>
                    <a:prstGeom prst="rect">
                      <a:avLst/>
                    </a:prstGeom>
                    <a:noFill/>
                    <a:ln>
                      <a:noFill/>
                    </a:ln>
                  </pic:spPr>
                </pic:pic>
              </a:graphicData>
            </a:graphic>
          </wp:inline>
        </w:drawing>
      </w:r>
    </w:p>
    <w:p w:rsidR="00EE3749" w:rsidRPr="005C4714" w:rsidRDefault="00EE3749" w:rsidP="00F54619">
      <w:pPr>
        <w:spacing w:after="0" w:line="240" w:lineRule="auto"/>
        <w:rPr>
          <w:rFonts w:ascii="Arial" w:hAnsi="Arial" w:cs="Arial"/>
          <w:sz w:val="24"/>
          <w:szCs w:val="24"/>
        </w:rPr>
      </w:pPr>
    </w:p>
    <w:p w:rsidR="008E4BA4" w:rsidRPr="005C4714" w:rsidRDefault="008E4BA4" w:rsidP="00F54619">
      <w:pPr>
        <w:spacing w:after="0" w:line="240" w:lineRule="auto"/>
        <w:rPr>
          <w:rFonts w:ascii="Arial" w:hAnsi="Arial" w:cs="Arial"/>
          <w:b/>
          <w:sz w:val="24"/>
          <w:szCs w:val="24"/>
        </w:rPr>
      </w:pPr>
      <w:r w:rsidRPr="005C4714">
        <w:rPr>
          <w:rFonts w:ascii="Arial" w:hAnsi="Arial" w:cs="Arial"/>
          <w:b/>
          <w:sz w:val="24"/>
          <w:szCs w:val="24"/>
        </w:rPr>
        <w:t>Fees</w:t>
      </w:r>
    </w:p>
    <w:p w:rsidR="003B3F9C" w:rsidRPr="005C4714" w:rsidRDefault="003B3F9C" w:rsidP="00F54619">
      <w:pPr>
        <w:spacing w:after="0" w:line="240" w:lineRule="auto"/>
        <w:rPr>
          <w:rFonts w:ascii="Arial" w:hAnsi="Arial" w:cs="Arial"/>
          <w:sz w:val="24"/>
          <w:szCs w:val="24"/>
        </w:rPr>
      </w:pPr>
      <w:r w:rsidRPr="005C4714">
        <w:rPr>
          <w:rFonts w:ascii="Arial" w:hAnsi="Arial" w:cs="Arial"/>
          <w:sz w:val="24"/>
          <w:szCs w:val="24"/>
        </w:rPr>
        <w:t xml:space="preserve">Below </w:t>
      </w:r>
      <w:proofErr w:type="gramStart"/>
      <w:r w:rsidRPr="005C4714">
        <w:rPr>
          <w:rFonts w:ascii="Arial" w:hAnsi="Arial" w:cs="Arial"/>
          <w:sz w:val="24"/>
          <w:szCs w:val="24"/>
        </w:rPr>
        <w:t>outlines</w:t>
      </w:r>
      <w:proofErr w:type="gramEnd"/>
      <w:r w:rsidRPr="005C4714">
        <w:rPr>
          <w:rFonts w:ascii="Arial" w:hAnsi="Arial" w:cs="Arial"/>
          <w:sz w:val="24"/>
          <w:szCs w:val="24"/>
        </w:rPr>
        <w:t xml:space="preserve"> the fees agreed with Morgan Hunt and their supply chain:</w:t>
      </w:r>
    </w:p>
    <w:p w:rsidR="003B3F9C" w:rsidRPr="005C4714" w:rsidRDefault="003B3F9C" w:rsidP="00F54619">
      <w:pPr>
        <w:spacing w:after="0" w:line="240" w:lineRule="auto"/>
        <w:rPr>
          <w:rFonts w:ascii="Arial" w:hAnsi="Arial" w:cs="Arial"/>
          <w:b/>
          <w:sz w:val="24"/>
          <w:szCs w:val="24"/>
        </w:rPr>
      </w:pPr>
    </w:p>
    <w:p w:rsidR="008E4BA4" w:rsidRPr="005C4714" w:rsidRDefault="008E4BA4" w:rsidP="00F54619">
      <w:pPr>
        <w:pStyle w:val="ListParagraph"/>
        <w:numPr>
          <w:ilvl w:val="0"/>
          <w:numId w:val="7"/>
        </w:numPr>
        <w:rPr>
          <w:rFonts w:ascii="Arial" w:hAnsi="Arial" w:cs="Arial"/>
          <w:sz w:val="24"/>
          <w:szCs w:val="24"/>
        </w:rPr>
      </w:pPr>
      <w:r w:rsidRPr="005C4714">
        <w:rPr>
          <w:rFonts w:ascii="Arial" w:hAnsi="Arial" w:cs="Arial"/>
          <w:sz w:val="24"/>
          <w:szCs w:val="24"/>
        </w:rPr>
        <w:t>Rate Card agreed for roles which may require agency workers (9% agency fee plus 12p management fee) for assignments with NCG in total of 12 weeks and under (AWR is 12.07%) and a separate Rate Card for assignments with NCG exceeding 12 weeks (AWR variable based on terms and conditions for equivalent role at the respective College)</w:t>
      </w:r>
      <w:r w:rsidR="0005278B" w:rsidRPr="005C4714">
        <w:rPr>
          <w:rFonts w:ascii="Arial" w:hAnsi="Arial" w:cs="Arial"/>
          <w:sz w:val="24"/>
          <w:szCs w:val="24"/>
        </w:rPr>
        <w:t>.  NO purchase order will be needed, as the assignment and timesheet approvals in Talent room will be used to authorise payment of the invoice.</w:t>
      </w:r>
    </w:p>
    <w:p w:rsidR="008E4BA4" w:rsidRPr="005C4714" w:rsidRDefault="008E4BA4" w:rsidP="00F54619">
      <w:pPr>
        <w:pStyle w:val="ListParagraph"/>
        <w:numPr>
          <w:ilvl w:val="0"/>
          <w:numId w:val="7"/>
        </w:numPr>
        <w:rPr>
          <w:rFonts w:ascii="Arial" w:hAnsi="Arial" w:cs="Arial"/>
          <w:sz w:val="24"/>
          <w:szCs w:val="24"/>
        </w:rPr>
      </w:pPr>
      <w:r w:rsidRPr="005C4714">
        <w:rPr>
          <w:rFonts w:ascii="Arial" w:hAnsi="Arial" w:cs="Arial"/>
          <w:sz w:val="24"/>
          <w:szCs w:val="24"/>
        </w:rPr>
        <w:t xml:space="preserve">Transfer Fee – 10% of Contract Rate calculated for a 24-week period, with minimum charge of £1,000 plus VAT.  If the contract offered is fixed term, the transfer fee is calculated pro-rata.  </w:t>
      </w:r>
      <w:r w:rsidR="0005278B" w:rsidRPr="005C4714">
        <w:rPr>
          <w:rFonts w:ascii="Arial" w:hAnsi="Arial" w:cs="Arial"/>
          <w:sz w:val="24"/>
          <w:szCs w:val="24"/>
        </w:rPr>
        <w:t xml:space="preserve">A purchase order will need to be raised in eProcurement. </w:t>
      </w:r>
      <w:r w:rsidRPr="005C4714">
        <w:rPr>
          <w:rFonts w:ascii="Arial" w:hAnsi="Arial" w:cs="Arial"/>
          <w:sz w:val="24"/>
          <w:szCs w:val="24"/>
        </w:rPr>
        <w:t>The Transfer Fee Calculator can be found here</w:t>
      </w:r>
      <w:r w:rsidR="003B3F9C" w:rsidRPr="005C4714">
        <w:rPr>
          <w:rFonts w:ascii="Arial" w:hAnsi="Arial" w:cs="Arial"/>
          <w:sz w:val="24"/>
          <w:szCs w:val="24"/>
        </w:rPr>
        <w:t>:</w:t>
      </w:r>
    </w:p>
    <w:p w:rsidR="008E4BA4" w:rsidRPr="005C4714" w:rsidRDefault="008E4BA4" w:rsidP="00F54619">
      <w:pPr>
        <w:pStyle w:val="ListParagraph"/>
        <w:rPr>
          <w:rFonts w:ascii="Arial" w:hAnsi="Arial" w:cs="Arial"/>
          <w:sz w:val="24"/>
          <w:szCs w:val="24"/>
        </w:rPr>
      </w:pPr>
    </w:p>
    <w:bookmarkStart w:id="1" w:name="_MON_1666456669"/>
    <w:bookmarkEnd w:id="1"/>
    <w:p w:rsidR="008E4BA4" w:rsidRDefault="008E4BA4" w:rsidP="00F54619">
      <w:pPr>
        <w:spacing w:after="0" w:line="240" w:lineRule="auto"/>
        <w:ind w:left="720"/>
        <w:rPr>
          <w:rFonts w:ascii="Arial" w:hAnsi="Arial" w:cs="Arial"/>
          <w:sz w:val="24"/>
          <w:szCs w:val="24"/>
        </w:rPr>
      </w:pPr>
      <w:r w:rsidRPr="005C4714">
        <w:rPr>
          <w:rFonts w:ascii="Arial" w:hAnsi="Arial" w:cs="Arial"/>
          <w:sz w:val="24"/>
          <w:szCs w:val="24"/>
        </w:rPr>
        <w:object w:dxaOrig="1538" w:dyaOrig="994" w14:anchorId="29E75E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49.5pt" o:ole="">
            <v:imagedata r:id="rId13" o:title=""/>
          </v:shape>
          <o:OLEObject Type="Embed" ProgID="Excel.Sheet.12" ShapeID="_x0000_i1025" DrawAspect="Icon" ObjectID="_1681283473" r:id="rId14"/>
        </w:object>
      </w:r>
    </w:p>
    <w:p w:rsidR="00132F3A" w:rsidRDefault="00132F3A" w:rsidP="00F54619">
      <w:pPr>
        <w:spacing w:after="0" w:line="240" w:lineRule="auto"/>
        <w:ind w:left="720"/>
        <w:rPr>
          <w:rFonts w:ascii="Arial" w:hAnsi="Arial" w:cs="Arial"/>
          <w:sz w:val="24"/>
          <w:szCs w:val="24"/>
        </w:rPr>
      </w:pPr>
    </w:p>
    <w:p w:rsidR="00132F3A" w:rsidRPr="005C4714" w:rsidRDefault="00132F3A" w:rsidP="00F54619">
      <w:pPr>
        <w:spacing w:after="0" w:line="240" w:lineRule="auto"/>
        <w:ind w:left="720"/>
        <w:rPr>
          <w:rFonts w:ascii="Arial" w:hAnsi="Arial" w:cs="Arial"/>
          <w:sz w:val="24"/>
          <w:szCs w:val="24"/>
        </w:rPr>
      </w:pPr>
    </w:p>
    <w:p w:rsidR="008E4BA4" w:rsidRPr="005C4714" w:rsidRDefault="008E4BA4" w:rsidP="00F54619">
      <w:pPr>
        <w:pStyle w:val="ListParagraph"/>
        <w:numPr>
          <w:ilvl w:val="0"/>
          <w:numId w:val="7"/>
        </w:numPr>
        <w:rPr>
          <w:rFonts w:ascii="Arial" w:hAnsi="Arial" w:cs="Arial"/>
          <w:sz w:val="24"/>
          <w:szCs w:val="24"/>
        </w:rPr>
      </w:pPr>
      <w:r w:rsidRPr="005C4714">
        <w:rPr>
          <w:rFonts w:ascii="Arial" w:hAnsi="Arial" w:cs="Arial"/>
          <w:sz w:val="24"/>
          <w:szCs w:val="24"/>
        </w:rPr>
        <w:t xml:space="preserve">Finder’s Fee – 10% of salary, with minimum charge of £1,000 plus VAT.  If the contract offered is fixed term, the transfer fee is calculated pro-rata.  </w:t>
      </w:r>
      <w:r w:rsidR="0005278B" w:rsidRPr="005C4714">
        <w:rPr>
          <w:rFonts w:ascii="Arial" w:hAnsi="Arial" w:cs="Arial"/>
          <w:sz w:val="24"/>
          <w:szCs w:val="24"/>
        </w:rPr>
        <w:t xml:space="preserve">A purchase order will need to be raised in eProcurement.  </w:t>
      </w:r>
      <w:r w:rsidRPr="005C4714">
        <w:rPr>
          <w:rFonts w:ascii="Arial" w:hAnsi="Arial" w:cs="Arial"/>
          <w:sz w:val="24"/>
          <w:szCs w:val="24"/>
        </w:rPr>
        <w:t>The Finder’s Fee Calculator can be found here</w:t>
      </w:r>
      <w:r w:rsidR="003B3F9C" w:rsidRPr="005C4714">
        <w:rPr>
          <w:rFonts w:ascii="Arial" w:hAnsi="Arial" w:cs="Arial"/>
          <w:sz w:val="24"/>
          <w:szCs w:val="24"/>
        </w:rPr>
        <w:t>:</w:t>
      </w:r>
    </w:p>
    <w:p w:rsidR="008E4BA4" w:rsidRPr="005C4714" w:rsidRDefault="008E4BA4" w:rsidP="00F54619">
      <w:pPr>
        <w:pStyle w:val="ListParagraph"/>
        <w:rPr>
          <w:rFonts w:ascii="Arial" w:hAnsi="Arial" w:cs="Arial"/>
          <w:sz w:val="24"/>
          <w:szCs w:val="24"/>
        </w:rPr>
      </w:pPr>
    </w:p>
    <w:p w:rsidR="008E4BA4" w:rsidRPr="005C4714" w:rsidRDefault="008E4BA4" w:rsidP="00F54619">
      <w:pPr>
        <w:pStyle w:val="ListParagraph"/>
        <w:rPr>
          <w:rFonts w:ascii="Arial" w:hAnsi="Arial" w:cs="Arial"/>
          <w:sz w:val="24"/>
          <w:szCs w:val="24"/>
        </w:rPr>
      </w:pPr>
      <w:r w:rsidRPr="005C4714">
        <w:rPr>
          <w:rFonts w:ascii="Arial" w:hAnsi="Arial" w:cs="Arial"/>
          <w:sz w:val="24"/>
          <w:szCs w:val="24"/>
        </w:rPr>
        <w:object w:dxaOrig="1538" w:dyaOrig="994" w14:anchorId="2C2D3A9D">
          <v:shape id="_x0000_i1026" type="#_x0000_t75" style="width:77.5pt;height:49.5pt" o:ole="">
            <v:imagedata r:id="rId15" o:title=""/>
          </v:shape>
          <o:OLEObject Type="Embed" ProgID="Excel.Sheet.12" ShapeID="_x0000_i1026" DrawAspect="Icon" ObjectID="_1681283474" r:id="rId16"/>
        </w:object>
      </w:r>
    </w:p>
    <w:p w:rsidR="008E4BA4" w:rsidRPr="005C4714" w:rsidRDefault="008E4BA4" w:rsidP="00F54619">
      <w:pPr>
        <w:spacing w:after="0" w:line="240" w:lineRule="auto"/>
        <w:rPr>
          <w:rFonts w:ascii="Arial" w:hAnsi="Arial" w:cs="Arial"/>
          <w:sz w:val="24"/>
          <w:szCs w:val="24"/>
        </w:rPr>
      </w:pPr>
    </w:p>
    <w:p w:rsidR="003B3F9C" w:rsidRPr="005C4714" w:rsidRDefault="003B3F9C" w:rsidP="00F54619">
      <w:pPr>
        <w:spacing w:after="0" w:line="240" w:lineRule="auto"/>
        <w:rPr>
          <w:rFonts w:ascii="Arial" w:hAnsi="Arial" w:cs="Arial"/>
          <w:sz w:val="24"/>
          <w:szCs w:val="24"/>
        </w:rPr>
      </w:pPr>
      <w:r w:rsidRPr="005C4714">
        <w:rPr>
          <w:rFonts w:ascii="Arial" w:hAnsi="Arial" w:cs="Arial"/>
          <w:sz w:val="24"/>
          <w:szCs w:val="24"/>
        </w:rPr>
        <w:t>Note: from time to time, agencies will not join part of Morgan Hunt’s supply chain due to the fees Morgan Hunt have agreed with NCG.  If the agency is crucial to NCG’s success, Morgan Hunt will propose to the NCG’s Project Board the inclusion of the agency with an alternative fee structure.  If accepted, these agencies will only be contacted, if no other agency within the supply chain suitable to support.</w:t>
      </w:r>
    </w:p>
    <w:p w:rsidR="00353BEB" w:rsidRPr="005C4714" w:rsidRDefault="003B3F9C" w:rsidP="00F54619">
      <w:pPr>
        <w:spacing w:after="0" w:line="240" w:lineRule="auto"/>
        <w:rPr>
          <w:rFonts w:ascii="Arial" w:hAnsi="Arial" w:cs="Arial"/>
          <w:b/>
          <w:sz w:val="24"/>
          <w:szCs w:val="24"/>
        </w:rPr>
      </w:pPr>
      <w:r w:rsidRPr="005C4714">
        <w:rPr>
          <w:rFonts w:ascii="Arial" w:hAnsi="Arial" w:cs="Arial"/>
          <w:b/>
          <w:sz w:val="24"/>
          <w:szCs w:val="24"/>
        </w:rPr>
        <w:br w:type="page"/>
      </w:r>
      <w:r w:rsidR="00353BEB" w:rsidRPr="005C4714">
        <w:rPr>
          <w:rFonts w:ascii="Arial" w:hAnsi="Arial" w:cs="Arial"/>
          <w:b/>
          <w:sz w:val="24"/>
          <w:szCs w:val="24"/>
        </w:rPr>
        <w:t>Process to go outside preferred supplier or pay a different level of pay</w:t>
      </w:r>
    </w:p>
    <w:p w:rsidR="00353BEB" w:rsidRPr="005C4714" w:rsidRDefault="00353BEB" w:rsidP="00F54619">
      <w:pPr>
        <w:spacing w:after="0" w:line="240" w:lineRule="auto"/>
        <w:rPr>
          <w:rFonts w:ascii="Arial" w:hAnsi="Arial" w:cs="Arial"/>
          <w:sz w:val="24"/>
          <w:szCs w:val="24"/>
        </w:rPr>
      </w:pPr>
    </w:p>
    <w:p w:rsidR="0005278B" w:rsidRPr="005C4714" w:rsidRDefault="003B3F9C" w:rsidP="00F54619">
      <w:pPr>
        <w:spacing w:after="0" w:line="240" w:lineRule="auto"/>
        <w:rPr>
          <w:rFonts w:ascii="Arial" w:hAnsi="Arial" w:cs="Arial"/>
          <w:sz w:val="24"/>
          <w:szCs w:val="24"/>
        </w:rPr>
      </w:pPr>
      <w:r w:rsidRPr="005C4714">
        <w:rPr>
          <w:rFonts w:ascii="Arial" w:hAnsi="Arial" w:cs="Arial"/>
          <w:sz w:val="24"/>
          <w:szCs w:val="24"/>
        </w:rPr>
        <w:t xml:space="preserve">From time to time, we recognise that there may be occasions whereby, </w:t>
      </w:r>
      <w:r w:rsidR="007A3C94" w:rsidRPr="005C4714">
        <w:rPr>
          <w:rFonts w:ascii="Arial" w:hAnsi="Arial" w:cs="Arial"/>
          <w:sz w:val="24"/>
          <w:szCs w:val="24"/>
        </w:rPr>
        <w:t xml:space="preserve">Morgan Hunt </w:t>
      </w:r>
      <w:r w:rsidR="0005278B" w:rsidRPr="005C4714">
        <w:rPr>
          <w:rFonts w:ascii="Arial" w:hAnsi="Arial" w:cs="Arial"/>
          <w:sz w:val="24"/>
          <w:szCs w:val="24"/>
        </w:rPr>
        <w:t xml:space="preserve">is unable to supply </w:t>
      </w:r>
      <w:r w:rsidR="00B73DCB">
        <w:rPr>
          <w:rFonts w:ascii="Arial" w:hAnsi="Arial" w:cs="Arial"/>
          <w:sz w:val="24"/>
          <w:szCs w:val="24"/>
        </w:rPr>
        <w:t xml:space="preserve">candidates </w:t>
      </w:r>
      <w:r w:rsidR="0005278B" w:rsidRPr="005C4714">
        <w:rPr>
          <w:rFonts w:ascii="Arial" w:hAnsi="Arial" w:cs="Arial"/>
          <w:sz w:val="24"/>
          <w:szCs w:val="24"/>
        </w:rPr>
        <w:t>due to:</w:t>
      </w:r>
    </w:p>
    <w:p w:rsidR="0005278B" w:rsidRPr="005C4714" w:rsidRDefault="0005278B" w:rsidP="00F54619">
      <w:pPr>
        <w:spacing w:after="0" w:line="240" w:lineRule="auto"/>
        <w:rPr>
          <w:rFonts w:ascii="Arial" w:hAnsi="Arial" w:cs="Arial"/>
          <w:sz w:val="24"/>
          <w:szCs w:val="24"/>
        </w:rPr>
      </w:pPr>
    </w:p>
    <w:p w:rsidR="0005278B" w:rsidRPr="005C4714" w:rsidRDefault="0005278B" w:rsidP="00F54619">
      <w:pPr>
        <w:pStyle w:val="ListParagraph"/>
        <w:numPr>
          <w:ilvl w:val="0"/>
          <w:numId w:val="7"/>
        </w:numPr>
        <w:rPr>
          <w:rFonts w:ascii="Arial" w:hAnsi="Arial" w:cs="Arial"/>
          <w:sz w:val="24"/>
          <w:szCs w:val="24"/>
        </w:rPr>
      </w:pPr>
      <w:r w:rsidRPr="005C4714">
        <w:rPr>
          <w:rFonts w:ascii="Arial" w:hAnsi="Arial" w:cs="Arial"/>
          <w:sz w:val="24"/>
          <w:szCs w:val="24"/>
        </w:rPr>
        <w:t>the preferred candidate is seeking a higher rate of pay</w:t>
      </w:r>
    </w:p>
    <w:p w:rsidR="0005278B" w:rsidRPr="005C4714" w:rsidRDefault="00162ECA" w:rsidP="00F54619">
      <w:pPr>
        <w:pStyle w:val="ListParagraph"/>
        <w:numPr>
          <w:ilvl w:val="0"/>
          <w:numId w:val="7"/>
        </w:numPr>
        <w:rPr>
          <w:rFonts w:ascii="Arial" w:hAnsi="Arial" w:cs="Arial"/>
          <w:sz w:val="24"/>
          <w:szCs w:val="24"/>
        </w:rPr>
      </w:pPr>
      <w:r w:rsidRPr="005C4714">
        <w:rPr>
          <w:rFonts w:ascii="Arial" w:hAnsi="Arial" w:cs="Arial"/>
          <w:sz w:val="24"/>
          <w:szCs w:val="24"/>
        </w:rPr>
        <w:t xml:space="preserve">no suitable candidates </w:t>
      </w:r>
      <w:r w:rsidR="0005278B" w:rsidRPr="005C4714">
        <w:rPr>
          <w:rFonts w:ascii="Arial" w:hAnsi="Arial" w:cs="Arial"/>
          <w:sz w:val="24"/>
          <w:szCs w:val="24"/>
        </w:rPr>
        <w:t>being available</w:t>
      </w:r>
    </w:p>
    <w:p w:rsidR="0005278B" w:rsidRPr="005C4714" w:rsidRDefault="004F5B50" w:rsidP="00F54619">
      <w:pPr>
        <w:pStyle w:val="ListParagraph"/>
        <w:numPr>
          <w:ilvl w:val="0"/>
          <w:numId w:val="7"/>
        </w:numPr>
        <w:rPr>
          <w:rFonts w:ascii="Arial" w:hAnsi="Arial" w:cs="Arial"/>
          <w:sz w:val="24"/>
          <w:szCs w:val="24"/>
        </w:rPr>
      </w:pPr>
      <w:r w:rsidRPr="005C4714">
        <w:rPr>
          <w:rFonts w:ascii="Arial" w:hAnsi="Arial" w:cs="Arial"/>
          <w:sz w:val="24"/>
          <w:szCs w:val="24"/>
        </w:rPr>
        <w:t>an alternative agency</w:t>
      </w:r>
      <w:r w:rsidR="00162ECA" w:rsidRPr="005C4714">
        <w:rPr>
          <w:rFonts w:ascii="Arial" w:hAnsi="Arial" w:cs="Arial"/>
          <w:sz w:val="24"/>
          <w:szCs w:val="24"/>
        </w:rPr>
        <w:t xml:space="preserve"> has been identified with suitable candidates </w:t>
      </w:r>
      <w:r w:rsidR="0005278B" w:rsidRPr="005C4714">
        <w:rPr>
          <w:rFonts w:ascii="Arial" w:hAnsi="Arial" w:cs="Arial"/>
          <w:sz w:val="24"/>
          <w:szCs w:val="24"/>
        </w:rPr>
        <w:t>BUT</w:t>
      </w:r>
      <w:r w:rsidR="00162ECA" w:rsidRPr="005C4714">
        <w:rPr>
          <w:rFonts w:ascii="Arial" w:hAnsi="Arial" w:cs="Arial"/>
          <w:sz w:val="24"/>
          <w:szCs w:val="24"/>
        </w:rPr>
        <w:t xml:space="preserve"> refuses to join Morgan Hunt’s supply chain or as a minimum put the candidate through Talent room</w:t>
      </w:r>
    </w:p>
    <w:p w:rsidR="0005278B" w:rsidRPr="005C4714" w:rsidRDefault="0005278B" w:rsidP="00F54619">
      <w:pPr>
        <w:spacing w:after="0" w:line="240" w:lineRule="auto"/>
        <w:rPr>
          <w:rFonts w:ascii="Arial" w:hAnsi="Arial" w:cs="Arial"/>
          <w:sz w:val="24"/>
          <w:szCs w:val="24"/>
        </w:rPr>
      </w:pPr>
    </w:p>
    <w:p w:rsidR="005E4F8F" w:rsidRPr="005C4714" w:rsidRDefault="005E4F8F" w:rsidP="00F54619">
      <w:pPr>
        <w:spacing w:after="0" w:line="240" w:lineRule="auto"/>
        <w:rPr>
          <w:rFonts w:ascii="Arial" w:hAnsi="Arial" w:cs="Arial"/>
          <w:b/>
          <w:sz w:val="24"/>
          <w:szCs w:val="24"/>
        </w:rPr>
      </w:pPr>
      <w:r w:rsidRPr="005C4714">
        <w:rPr>
          <w:rFonts w:ascii="Arial" w:hAnsi="Arial" w:cs="Arial"/>
          <w:b/>
          <w:sz w:val="24"/>
          <w:szCs w:val="24"/>
        </w:rPr>
        <w:t>Agreed process</w:t>
      </w:r>
    </w:p>
    <w:p w:rsidR="005E4F8F" w:rsidRPr="005C4714" w:rsidRDefault="005E4F8F" w:rsidP="00F54619">
      <w:pPr>
        <w:spacing w:after="0" w:line="240" w:lineRule="auto"/>
        <w:rPr>
          <w:rFonts w:ascii="Arial" w:hAnsi="Arial" w:cs="Arial"/>
          <w:sz w:val="24"/>
          <w:szCs w:val="24"/>
        </w:rPr>
      </w:pPr>
      <w:r w:rsidRPr="005C4714">
        <w:rPr>
          <w:rFonts w:ascii="Arial" w:hAnsi="Arial" w:cs="Arial"/>
          <w:sz w:val="24"/>
          <w:szCs w:val="24"/>
        </w:rPr>
        <w:t>The process differs slightly depending on the reason for the standard process being followed, set out in the Service Offer.</w:t>
      </w:r>
    </w:p>
    <w:p w:rsidR="00F54619" w:rsidRPr="005C4714" w:rsidRDefault="00F54619" w:rsidP="00F54619">
      <w:pPr>
        <w:spacing w:after="0" w:line="240" w:lineRule="auto"/>
        <w:rPr>
          <w:rFonts w:ascii="Arial" w:hAnsi="Arial" w:cs="Arial"/>
          <w:sz w:val="24"/>
          <w:szCs w:val="24"/>
        </w:rPr>
      </w:pPr>
    </w:p>
    <w:p w:rsidR="0005278B" w:rsidRPr="005C4714" w:rsidRDefault="0005278B" w:rsidP="001E0A1E">
      <w:pPr>
        <w:pStyle w:val="ListParagraph"/>
        <w:numPr>
          <w:ilvl w:val="0"/>
          <w:numId w:val="8"/>
        </w:numPr>
        <w:rPr>
          <w:rFonts w:ascii="Arial" w:hAnsi="Arial" w:cs="Arial"/>
          <w:b/>
          <w:sz w:val="24"/>
          <w:szCs w:val="24"/>
        </w:rPr>
      </w:pPr>
      <w:r w:rsidRPr="005C4714">
        <w:rPr>
          <w:rFonts w:ascii="Arial" w:hAnsi="Arial" w:cs="Arial"/>
          <w:b/>
          <w:sz w:val="24"/>
          <w:szCs w:val="24"/>
        </w:rPr>
        <w:t>Different level of Pay</w:t>
      </w:r>
    </w:p>
    <w:p w:rsidR="0005278B" w:rsidRPr="005C4714" w:rsidRDefault="0005278B" w:rsidP="00F54619">
      <w:pPr>
        <w:spacing w:after="0" w:line="240" w:lineRule="auto"/>
        <w:rPr>
          <w:rFonts w:ascii="Arial" w:hAnsi="Arial" w:cs="Arial"/>
          <w:sz w:val="24"/>
          <w:szCs w:val="24"/>
        </w:rPr>
      </w:pPr>
      <w:r w:rsidRPr="005C4714">
        <w:rPr>
          <w:rFonts w:ascii="Arial" w:hAnsi="Arial" w:cs="Arial"/>
          <w:sz w:val="24"/>
          <w:szCs w:val="24"/>
        </w:rPr>
        <w:t xml:space="preserve">If Morgan Hunt are able to provide a candidate at a higher rate of pay, the Morgan Hunt Account Manager will notify the </w:t>
      </w:r>
      <w:r w:rsidR="004F5B50" w:rsidRPr="005C4714">
        <w:rPr>
          <w:rFonts w:ascii="Arial" w:hAnsi="Arial" w:cs="Arial"/>
          <w:sz w:val="24"/>
          <w:szCs w:val="24"/>
        </w:rPr>
        <w:t>Recruiting Manager</w:t>
      </w:r>
      <w:r w:rsidRPr="005C4714">
        <w:rPr>
          <w:rFonts w:ascii="Arial" w:hAnsi="Arial" w:cs="Arial"/>
          <w:sz w:val="24"/>
          <w:szCs w:val="24"/>
        </w:rPr>
        <w:t>, who</w:t>
      </w:r>
      <w:r w:rsidR="004F5B50" w:rsidRPr="005C4714">
        <w:rPr>
          <w:rFonts w:ascii="Arial" w:hAnsi="Arial" w:cs="Arial"/>
          <w:sz w:val="24"/>
          <w:szCs w:val="24"/>
        </w:rPr>
        <w:t xml:space="preserve"> </w:t>
      </w:r>
      <w:r w:rsidR="00937883" w:rsidRPr="005C4714">
        <w:rPr>
          <w:rFonts w:ascii="Arial" w:hAnsi="Arial" w:cs="Arial"/>
          <w:sz w:val="24"/>
          <w:szCs w:val="24"/>
        </w:rPr>
        <w:t xml:space="preserve">will need to </w:t>
      </w:r>
      <w:r w:rsidR="00DF51BE" w:rsidRPr="005C4714">
        <w:rPr>
          <w:rFonts w:ascii="Arial" w:hAnsi="Arial" w:cs="Arial"/>
          <w:sz w:val="24"/>
          <w:szCs w:val="24"/>
        </w:rPr>
        <w:t>g</w:t>
      </w:r>
      <w:r w:rsidR="00937883" w:rsidRPr="005C4714">
        <w:rPr>
          <w:rFonts w:ascii="Arial" w:hAnsi="Arial" w:cs="Arial"/>
          <w:sz w:val="24"/>
          <w:szCs w:val="24"/>
        </w:rPr>
        <w:t xml:space="preserve">et approval from the local finance lead. </w:t>
      </w:r>
    </w:p>
    <w:p w:rsidR="00937883" w:rsidRPr="005C4714" w:rsidRDefault="00937883" w:rsidP="00F54619">
      <w:pPr>
        <w:spacing w:after="0" w:line="240" w:lineRule="auto"/>
        <w:rPr>
          <w:rFonts w:ascii="Arial" w:hAnsi="Arial" w:cs="Arial"/>
          <w:sz w:val="24"/>
          <w:szCs w:val="24"/>
        </w:rPr>
      </w:pPr>
      <w:r w:rsidRPr="005C4714">
        <w:rPr>
          <w:rFonts w:ascii="Arial" w:hAnsi="Arial" w:cs="Arial"/>
          <w:sz w:val="24"/>
          <w:szCs w:val="24"/>
        </w:rPr>
        <w:t xml:space="preserve">Once the </w:t>
      </w:r>
      <w:r w:rsidR="00DF51BE" w:rsidRPr="005C4714">
        <w:rPr>
          <w:rFonts w:ascii="Arial" w:hAnsi="Arial" w:cs="Arial"/>
          <w:sz w:val="24"/>
          <w:szCs w:val="24"/>
        </w:rPr>
        <w:t>f</w:t>
      </w:r>
      <w:r w:rsidRPr="005C4714">
        <w:rPr>
          <w:rFonts w:ascii="Arial" w:hAnsi="Arial" w:cs="Arial"/>
          <w:sz w:val="24"/>
          <w:szCs w:val="24"/>
        </w:rPr>
        <w:t xml:space="preserve">inance </w:t>
      </w:r>
      <w:r w:rsidR="00DF51BE" w:rsidRPr="005C4714">
        <w:rPr>
          <w:rFonts w:ascii="Arial" w:hAnsi="Arial" w:cs="Arial"/>
          <w:sz w:val="24"/>
          <w:szCs w:val="24"/>
        </w:rPr>
        <w:t>l</w:t>
      </w:r>
      <w:r w:rsidRPr="005C4714">
        <w:rPr>
          <w:rFonts w:ascii="Arial" w:hAnsi="Arial" w:cs="Arial"/>
          <w:sz w:val="24"/>
          <w:szCs w:val="24"/>
        </w:rPr>
        <w:t xml:space="preserve">ead has approved the alternative </w:t>
      </w:r>
      <w:r w:rsidR="0005278B" w:rsidRPr="005C4714">
        <w:rPr>
          <w:rFonts w:ascii="Arial" w:hAnsi="Arial" w:cs="Arial"/>
          <w:sz w:val="24"/>
          <w:szCs w:val="24"/>
        </w:rPr>
        <w:t>C</w:t>
      </w:r>
      <w:r w:rsidRPr="005C4714">
        <w:rPr>
          <w:rFonts w:ascii="Arial" w:hAnsi="Arial" w:cs="Arial"/>
          <w:sz w:val="24"/>
          <w:szCs w:val="24"/>
        </w:rPr>
        <w:t xml:space="preserve">harge </w:t>
      </w:r>
      <w:r w:rsidR="0005278B" w:rsidRPr="005C4714">
        <w:rPr>
          <w:rFonts w:ascii="Arial" w:hAnsi="Arial" w:cs="Arial"/>
          <w:sz w:val="24"/>
          <w:szCs w:val="24"/>
        </w:rPr>
        <w:t>O</w:t>
      </w:r>
      <w:r w:rsidRPr="005C4714">
        <w:rPr>
          <w:rFonts w:ascii="Arial" w:hAnsi="Arial" w:cs="Arial"/>
          <w:sz w:val="24"/>
          <w:szCs w:val="24"/>
        </w:rPr>
        <w:t xml:space="preserve">ut </w:t>
      </w:r>
      <w:r w:rsidR="0005278B" w:rsidRPr="005C4714">
        <w:rPr>
          <w:rFonts w:ascii="Arial" w:hAnsi="Arial" w:cs="Arial"/>
          <w:sz w:val="24"/>
          <w:szCs w:val="24"/>
        </w:rPr>
        <w:t>R</w:t>
      </w:r>
      <w:r w:rsidRPr="005C4714">
        <w:rPr>
          <w:rFonts w:ascii="Arial" w:hAnsi="Arial" w:cs="Arial"/>
          <w:sz w:val="24"/>
          <w:szCs w:val="24"/>
        </w:rPr>
        <w:t xml:space="preserve">ate, the approval should be sent to </w:t>
      </w:r>
      <w:r w:rsidR="0005278B" w:rsidRPr="005C4714">
        <w:rPr>
          <w:rFonts w:ascii="Arial" w:hAnsi="Arial" w:cs="Arial"/>
          <w:sz w:val="24"/>
          <w:szCs w:val="24"/>
        </w:rPr>
        <w:t xml:space="preserve">the </w:t>
      </w:r>
      <w:r w:rsidRPr="005C4714">
        <w:rPr>
          <w:rFonts w:ascii="Arial" w:hAnsi="Arial" w:cs="Arial"/>
          <w:sz w:val="24"/>
          <w:szCs w:val="24"/>
        </w:rPr>
        <w:t>Morgan Hunt</w:t>
      </w:r>
      <w:r w:rsidR="0005278B" w:rsidRPr="005C4714">
        <w:rPr>
          <w:rFonts w:ascii="Arial" w:hAnsi="Arial" w:cs="Arial"/>
          <w:sz w:val="24"/>
          <w:szCs w:val="24"/>
        </w:rPr>
        <w:t xml:space="preserve"> Account Manager</w:t>
      </w:r>
      <w:r w:rsidRPr="005C4714">
        <w:rPr>
          <w:rFonts w:ascii="Arial" w:hAnsi="Arial" w:cs="Arial"/>
          <w:sz w:val="24"/>
          <w:szCs w:val="24"/>
        </w:rPr>
        <w:t xml:space="preserve">, to enable them to submit candidates </w:t>
      </w:r>
      <w:r w:rsidR="00DF51BE" w:rsidRPr="005C4714">
        <w:rPr>
          <w:rFonts w:ascii="Arial" w:hAnsi="Arial" w:cs="Arial"/>
          <w:sz w:val="24"/>
          <w:szCs w:val="24"/>
        </w:rPr>
        <w:t xml:space="preserve">at the </w:t>
      </w:r>
      <w:r w:rsidRPr="005C4714">
        <w:rPr>
          <w:rFonts w:ascii="Arial" w:hAnsi="Arial" w:cs="Arial"/>
          <w:sz w:val="24"/>
          <w:szCs w:val="24"/>
        </w:rPr>
        <w:t>adjust</w:t>
      </w:r>
      <w:r w:rsidR="00DF51BE" w:rsidRPr="005C4714">
        <w:rPr>
          <w:rFonts w:ascii="Arial" w:hAnsi="Arial" w:cs="Arial"/>
          <w:sz w:val="24"/>
          <w:szCs w:val="24"/>
        </w:rPr>
        <w:t>ed</w:t>
      </w:r>
      <w:r w:rsidRPr="005C4714">
        <w:rPr>
          <w:rFonts w:ascii="Arial" w:hAnsi="Arial" w:cs="Arial"/>
          <w:sz w:val="24"/>
          <w:szCs w:val="24"/>
        </w:rPr>
        <w:t xml:space="preserve"> assignment details</w:t>
      </w:r>
      <w:r w:rsidR="00DF51BE" w:rsidRPr="005C4714">
        <w:rPr>
          <w:rFonts w:ascii="Arial" w:hAnsi="Arial" w:cs="Arial"/>
          <w:sz w:val="24"/>
          <w:szCs w:val="24"/>
        </w:rPr>
        <w:t>.</w:t>
      </w:r>
    </w:p>
    <w:p w:rsidR="00F54619" w:rsidRPr="005C4714" w:rsidRDefault="00F54619" w:rsidP="00F54619">
      <w:pPr>
        <w:spacing w:after="0" w:line="240" w:lineRule="auto"/>
        <w:rPr>
          <w:rFonts w:ascii="Arial" w:hAnsi="Arial" w:cs="Arial"/>
          <w:sz w:val="24"/>
          <w:szCs w:val="24"/>
        </w:rPr>
      </w:pPr>
    </w:p>
    <w:p w:rsidR="0005278B" w:rsidRPr="005C4714" w:rsidRDefault="005E4F8F" w:rsidP="00B2232A">
      <w:pPr>
        <w:pStyle w:val="ListParagraph"/>
        <w:numPr>
          <w:ilvl w:val="0"/>
          <w:numId w:val="8"/>
        </w:numPr>
        <w:rPr>
          <w:rFonts w:ascii="Arial" w:hAnsi="Arial" w:cs="Arial"/>
          <w:sz w:val="24"/>
          <w:szCs w:val="24"/>
        </w:rPr>
      </w:pPr>
      <w:r w:rsidRPr="005C4714">
        <w:rPr>
          <w:rFonts w:ascii="Arial" w:hAnsi="Arial" w:cs="Arial"/>
          <w:b/>
          <w:sz w:val="24"/>
          <w:szCs w:val="24"/>
        </w:rPr>
        <w:t>Inability to Supply</w:t>
      </w:r>
    </w:p>
    <w:p w:rsidR="0005278B" w:rsidRPr="005C4714" w:rsidRDefault="00937883" w:rsidP="00F54619">
      <w:pPr>
        <w:spacing w:after="0" w:line="240" w:lineRule="auto"/>
        <w:rPr>
          <w:rFonts w:ascii="Arial" w:hAnsi="Arial" w:cs="Arial"/>
          <w:sz w:val="24"/>
          <w:szCs w:val="24"/>
        </w:rPr>
      </w:pPr>
      <w:r w:rsidRPr="005C4714">
        <w:rPr>
          <w:rFonts w:ascii="Arial" w:hAnsi="Arial" w:cs="Arial"/>
          <w:sz w:val="24"/>
          <w:szCs w:val="24"/>
        </w:rPr>
        <w:t xml:space="preserve">Where there are still no suitable candidates, </w:t>
      </w:r>
      <w:r w:rsidR="00DF51BE" w:rsidRPr="005C4714">
        <w:rPr>
          <w:rFonts w:ascii="Arial" w:hAnsi="Arial" w:cs="Arial"/>
          <w:sz w:val="24"/>
          <w:szCs w:val="24"/>
        </w:rPr>
        <w:t>or a recruitment agency refuses to join Morgan Hunt</w:t>
      </w:r>
      <w:r w:rsidR="0005278B" w:rsidRPr="005C4714">
        <w:rPr>
          <w:rFonts w:ascii="Arial" w:hAnsi="Arial" w:cs="Arial"/>
          <w:sz w:val="24"/>
          <w:szCs w:val="24"/>
        </w:rPr>
        <w:t>’</w:t>
      </w:r>
      <w:r w:rsidR="00DF51BE" w:rsidRPr="005C4714">
        <w:rPr>
          <w:rFonts w:ascii="Arial" w:hAnsi="Arial" w:cs="Arial"/>
          <w:sz w:val="24"/>
          <w:szCs w:val="24"/>
        </w:rPr>
        <w:t xml:space="preserve">s supply chain, </w:t>
      </w:r>
      <w:r w:rsidRPr="005C4714">
        <w:rPr>
          <w:rFonts w:ascii="Arial" w:hAnsi="Arial" w:cs="Arial"/>
          <w:sz w:val="24"/>
          <w:szCs w:val="24"/>
        </w:rPr>
        <w:t xml:space="preserve">a </w:t>
      </w:r>
      <w:r w:rsidR="0005278B" w:rsidRPr="005C4714">
        <w:rPr>
          <w:rFonts w:ascii="Arial" w:hAnsi="Arial" w:cs="Arial"/>
          <w:sz w:val="24"/>
          <w:szCs w:val="24"/>
        </w:rPr>
        <w:t>R</w:t>
      </w:r>
      <w:r w:rsidRPr="005C4714">
        <w:rPr>
          <w:rFonts w:ascii="Arial" w:hAnsi="Arial" w:cs="Arial"/>
          <w:sz w:val="24"/>
          <w:szCs w:val="24"/>
        </w:rPr>
        <w:t xml:space="preserve">ecruiting </w:t>
      </w:r>
      <w:r w:rsidR="0005278B" w:rsidRPr="005C4714">
        <w:rPr>
          <w:rFonts w:ascii="Arial" w:hAnsi="Arial" w:cs="Arial"/>
          <w:sz w:val="24"/>
          <w:szCs w:val="24"/>
        </w:rPr>
        <w:t>M</w:t>
      </w:r>
      <w:r w:rsidRPr="005C4714">
        <w:rPr>
          <w:rFonts w:ascii="Arial" w:hAnsi="Arial" w:cs="Arial"/>
          <w:sz w:val="24"/>
          <w:szCs w:val="24"/>
        </w:rPr>
        <w:t xml:space="preserve">anager </w:t>
      </w:r>
      <w:r w:rsidR="0005278B" w:rsidRPr="005C4714">
        <w:rPr>
          <w:rFonts w:ascii="Arial" w:hAnsi="Arial" w:cs="Arial"/>
          <w:sz w:val="24"/>
          <w:szCs w:val="24"/>
        </w:rPr>
        <w:t>may</w:t>
      </w:r>
      <w:r w:rsidRPr="005C4714">
        <w:rPr>
          <w:rFonts w:ascii="Arial" w:hAnsi="Arial" w:cs="Arial"/>
          <w:sz w:val="24"/>
          <w:szCs w:val="24"/>
        </w:rPr>
        <w:t xml:space="preserve"> approach </w:t>
      </w:r>
      <w:r w:rsidR="00CF6A63" w:rsidRPr="005C4714">
        <w:rPr>
          <w:rFonts w:ascii="Arial" w:hAnsi="Arial" w:cs="Arial"/>
          <w:sz w:val="24"/>
          <w:szCs w:val="24"/>
        </w:rPr>
        <w:t>other agencies</w:t>
      </w:r>
      <w:r w:rsidR="0005278B" w:rsidRPr="005C4714">
        <w:rPr>
          <w:rFonts w:ascii="Arial" w:hAnsi="Arial" w:cs="Arial"/>
          <w:sz w:val="24"/>
          <w:szCs w:val="24"/>
        </w:rPr>
        <w:t xml:space="preserve"> in line with the process set out below</w:t>
      </w:r>
      <w:r w:rsidR="00CF6A63" w:rsidRPr="005C4714">
        <w:rPr>
          <w:rFonts w:ascii="Arial" w:hAnsi="Arial" w:cs="Arial"/>
          <w:sz w:val="24"/>
          <w:szCs w:val="24"/>
        </w:rPr>
        <w:t xml:space="preserve">. </w:t>
      </w:r>
    </w:p>
    <w:p w:rsidR="0005278B" w:rsidRPr="005C4714" w:rsidRDefault="0005278B" w:rsidP="00F54619">
      <w:pPr>
        <w:spacing w:after="0" w:line="240" w:lineRule="auto"/>
        <w:rPr>
          <w:rFonts w:ascii="Arial" w:hAnsi="Arial" w:cs="Arial"/>
          <w:sz w:val="24"/>
          <w:szCs w:val="24"/>
        </w:rPr>
      </w:pPr>
    </w:p>
    <w:p w:rsidR="00FC43EB" w:rsidRPr="005C4714" w:rsidRDefault="0005278B" w:rsidP="00F54619">
      <w:pPr>
        <w:spacing w:after="0" w:line="240" w:lineRule="auto"/>
        <w:rPr>
          <w:rFonts w:ascii="Arial" w:hAnsi="Arial" w:cs="Arial"/>
          <w:color w:val="FF0000"/>
          <w:sz w:val="24"/>
          <w:szCs w:val="24"/>
        </w:rPr>
      </w:pPr>
      <w:r w:rsidRPr="005C4714">
        <w:rPr>
          <w:rFonts w:ascii="Arial" w:hAnsi="Arial" w:cs="Arial"/>
          <w:sz w:val="24"/>
          <w:szCs w:val="24"/>
        </w:rPr>
        <w:t>The Recruiting Manager</w:t>
      </w:r>
      <w:r w:rsidR="00CF6A63" w:rsidRPr="005C4714">
        <w:rPr>
          <w:rFonts w:ascii="Arial" w:hAnsi="Arial" w:cs="Arial"/>
          <w:sz w:val="24"/>
          <w:szCs w:val="24"/>
        </w:rPr>
        <w:t xml:space="preserve"> will need to send the following</w:t>
      </w:r>
      <w:r w:rsidRPr="005C4714">
        <w:rPr>
          <w:rFonts w:ascii="Arial" w:hAnsi="Arial" w:cs="Arial"/>
          <w:sz w:val="24"/>
          <w:szCs w:val="24"/>
        </w:rPr>
        <w:t xml:space="preserve"> documentation</w:t>
      </w:r>
      <w:r w:rsidR="00CF6A63" w:rsidRPr="005C4714">
        <w:rPr>
          <w:rFonts w:ascii="Arial" w:hAnsi="Arial" w:cs="Arial"/>
          <w:sz w:val="24"/>
          <w:szCs w:val="24"/>
        </w:rPr>
        <w:t xml:space="preserve"> to </w:t>
      </w:r>
      <w:r w:rsidRPr="005C4714">
        <w:rPr>
          <w:rFonts w:ascii="Arial" w:hAnsi="Arial" w:cs="Arial"/>
          <w:sz w:val="24"/>
          <w:szCs w:val="24"/>
        </w:rPr>
        <w:t xml:space="preserve">the </w:t>
      </w:r>
      <w:r w:rsidRPr="005C4714">
        <w:rPr>
          <w:rFonts w:ascii="Arial" w:hAnsi="Arial" w:cs="Arial"/>
          <w:color w:val="000000" w:themeColor="text1"/>
          <w:sz w:val="24"/>
          <w:szCs w:val="24"/>
        </w:rPr>
        <w:t>P</w:t>
      </w:r>
      <w:r w:rsidR="006976E0" w:rsidRPr="005C4714">
        <w:rPr>
          <w:rFonts w:ascii="Arial" w:hAnsi="Arial" w:cs="Arial"/>
          <w:color w:val="000000" w:themeColor="text1"/>
          <w:sz w:val="24"/>
          <w:szCs w:val="24"/>
        </w:rPr>
        <w:t>rocurement</w:t>
      </w:r>
      <w:r w:rsidR="00CF6A63" w:rsidRPr="005C4714">
        <w:rPr>
          <w:rFonts w:ascii="Arial" w:hAnsi="Arial" w:cs="Arial"/>
          <w:color w:val="000000" w:themeColor="text1"/>
          <w:sz w:val="24"/>
          <w:szCs w:val="24"/>
        </w:rPr>
        <w:t xml:space="preserve"> team </w:t>
      </w:r>
      <w:r w:rsidRPr="005C4714">
        <w:rPr>
          <w:rFonts w:ascii="Arial" w:hAnsi="Arial" w:cs="Arial"/>
          <w:color w:val="000000" w:themeColor="text1"/>
          <w:sz w:val="24"/>
          <w:szCs w:val="24"/>
        </w:rPr>
        <w:t xml:space="preserve">by email to </w:t>
      </w:r>
      <w:hyperlink r:id="rId17" w:history="1">
        <w:r w:rsidRPr="005C4714">
          <w:rPr>
            <w:rStyle w:val="Hyperlink"/>
            <w:rFonts w:ascii="Arial" w:hAnsi="Arial" w:cs="Arial"/>
            <w:sz w:val="24"/>
            <w:szCs w:val="24"/>
          </w:rPr>
          <w:t>procurement@ncgrp.co.uk</w:t>
        </w:r>
      </w:hyperlink>
      <w:r w:rsidR="00CF6A63" w:rsidRPr="005C4714">
        <w:rPr>
          <w:rFonts w:ascii="Arial" w:hAnsi="Arial" w:cs="Arial"/>
          <w:sz w:val="24"/>
          <w:szCs w:val="24"/>
        </w:rPr>
        <w:t>:</w:t>
      </w:r>
    </w:p>
    <w:p w:rsidR="00D80E43" w:rsidRPr="005C4714" w:rsidRDefault="00D80E43" w:rsidP="00F54619">
      <w:pPr>
        <w:spacing w:after="0" w:line="240" w:lineRule="auto"/>
        <w:rPr>
          <w:rFonts w:ascii="Arial" w:hAnsi="Arial" w:cs="Arial"/>
          <w:color w:val="FF0000"/>
          <w:sz w:val="24"/>
          <w:szCs w:val="24"/>
        </w:rPr>
      </w:pPr>
    </w:p>
    <w:p w:rsidR="00FC43EB" w:rsidRDefault="00CF6A63" w:rsidP="00F54619">
      <w:pPr>
        <w:pStyle w:val="ListParagraph"/>
        <w:numPr>
          <w:ilvl w:val="0"/>
          <w:numId w:val="2"/>
        </w:numPr>
        <w:rPr>
          <w:rFonts w:ascii="Arial" w:eastAsia="Times New Roman" w:hAnsi="Arial" w:cs="Arial"/>
          <w:sz w:val="24"/>
          <w:szCs w:val="24"/>
          <w:lang w:eastAsia="en-US"/>
        </w:rPr>
      </w:pPr>
      <w:r w:rsidRPr="005C4714">
        <w:rPr>
          <w:rFonts w:ascii="Arial" w:eastAsia="Times New Roman" w:hAnsi="Arial" w:cs="Arial"/>
          <w:sz w:val="24"/>
          <w:szCs w:val="24"/>
          <w:lang w:eastAsia="en-US"/>
        </w:rPr>
        <w:t>an e</w:t>
      </w:r>
      <w:r w:rsidR="00FC43EB" w:rsidRPr="005C4714">
        <w:rPr>
          <w:rFonts w:ascii="Arial" w:eastAsia="Times New Roman" w:hAnsi="Arial" w:cs="Arial"/>
          <w:sz w:val="24"/>
          <w:szCs w:val="24"/>
          <w:lang w:eastAsia="en-US"/>
        </w:rPr>
        <w:t>mail from M</w:t>
      </w:r>
      <w:r w:rsidR="00162ECA" w:rsidRPr="005C4714">
        <w:rPr>
          <w:rFonts w:ascii="Arial" w:eastAsia="Times New Roman" w:hAnsi="Arial" w:cs="Arial"/>
          <w:sz w:val="24"/>
          <w:szCs w:val="24"/>
          <w:lang w:eastAsia="en-US"/>
        </w:rPr>
        <w:t>organ Hunt</w:t>
      </w:r>
      <w:r w:rsidR="00FC43EB" w:rsidRPr="005C4714">
        <w:rPr>
          <w:rFonts w:ascii="Arial" w:eastAsia="Times New Roman" w:hAnsi="Arial" w:cs="Arial"/>
          <w:sz w:val="24"/>
          <w:szCs w:val="24"/>
          <w:lang w:eastAsia="en-US"/>
        </w:rPr>
        <w:t xml:space="preserve"> </w:t>
      </w:r>
      <w:r w:rsidR="00162ECA" w:rsidRPr="005C4714">
        <w:rPr>
          <w:rFonts w:ascii="Arial" w:eastAsia="Times New Roman" w:hAnsi="Arial" w:cs="Arial"/>
          <w:sz w:val="24"/>
          <w:szCs w:val="24"/>
          <w:lang w:eastAsia="en-US"/>
        </w:rPr>
        <w:t xml:space="preserve">Account Manager </w:t>
      </w:r>
      <w:r w:rsidR="00FC43EB" w:rsidRPr="005C4714">
        <w:rPr>
          <w:rFonts w:ascii="Arial" w:eastAsia="Times New Roman" w:hAnsi="Arial" w:cs="Arial"/>
          <w:sz w:val="24"/>
          <w:szCs w:val="24"/>
          <w:lang w:eastAsia="en-US"/>
        </w:rPr>
        <w:t xml:space="preserve">to confirm </w:t>
      </w:r>
      <w:r w:rsidR="0005278B" w:rsidRPr="005C4714">
        <w:rPr>
          <w:rFonts w:ascii="Arial" w:eastAsia="Times New Roman" w:hAnsi="Arial" w:cs="Arial"/>
          <w:sz w:val="24"/>
          <w:szCs w:val="24"/>
          <w:lang w:eastAsia="en-US"/>
        </w:rPr>
        <w:t>Morgan Hunt and their supply chain</w:t>
      </w:r>
      <w:r w:rsidR="00FC43EB" w:rsidRPr="005C4714">
        <w:rPr>
          <w:rFonts w:ascii="Arial" w:eastAsia="Times New Roman" w:hAnsi="Arial" w:cs="Arial"/>
          <w:sz w:val="24"/>
          <w:szCs w:val="24"/>
          <w:lang w:eastAsia="en-US"/>
        </w:rPr>
        <w:t xml:space="preserve"> are unable to supply a</w:t>
      </w:r>
      <w:r w:rsidR="00162ECA" w:rsidRPr="005C4714">
        <w:rPr>
          <w:rFonts w:ascii="Arial" w:eastAsia="Times New Roman" w:hAnsi="Arial" w:cs="Arial"/>
          <w:sz w:val="24"/>
          <w:szCs w:val="24"/>
          <w:lang w:eastAsia="en-US"/>
        </w:rPr>
        <w:t xml:space="preserve"> </w:t>
      </w:r>
      <w:r w:rsidR="00FC43EB" w:rsidRPr="005C4714">
        <w:rPr>
          <w:rFonts w:ascii="Arial" w:eastAsia="Times New Roman" w:hAnsi="Arial" w:cs="Arial"/>
          <w:sz w:val="24"/>
          <w:szCs w:val="24"/>
          <w:lang w:eastAsia="en-US"/>
        </w:rPr>
        <w:t xml:space="preserve">candidate within the timeframes </w:t>
      </w:r>
      <w:r w:rsidR="002124CD" w:rsidRPr="005C4714">
        <w:rPr>
          <w:rFonts w:ascii="Arial" w:eastAsia="Times New Roman" w:hAnsi="Arial" w:cs="Arial"/>
          <w:sz w:val="24"/>
          <w:szCs w:val="24"/>
          <w:lang w:eastAsia="en-US"/>
        </w:rPr>
        <w:t>set out above in the Service Offer.</w:t>
      </w:r>
    </w:p>
    <w:p w:rsidR="00B73DCB" w:rsidRPr="005C4714" w:rsidRDefault="00B73DCB" w:rsidP="00F54619">
      <w:pPr>
        <w:pStyle w:val="ListParagraph"/>
        <w:numPr>
          <w:ilvl w:val="0"/>
          <w:numId w:val="2"/>
        </w:numPr>
        <w:rPr>
          <w:rFonts w:ascii="Arial" w:eastAsia="Times New Roman" w:hAnsi="Arial" w:cs="Arial"/>
          <w:sz w:val="24"/>
          <w:szCs w:val="24"/>
          <w:lang w:eastAsia="en-US"/>
        </w:rPr>
      </w:pPr>
      <w:r w:rsidRPr="00B73DCB">
        <w:rPr>
          <w:rFonts w:ascii="Arial" w:eastAsia="Times New Roman" w:hAnsi="Arial" w:cs="Arial"/>
          <w:sz w:val="24"/>
          <w:szCs w:val="24"/>
        </w:rPr>
        <w:t xml:space="preserve">In line with IR35 regulations hiring managers need to complete a ‘check employment status for tax (CEST)’ form, available on the </w:t>
      </w:r>
      <w:hyperlink r:id="rId18" w:history="1">
        <w:r w:rsidRPr="00101D2B">
          <w:rPr>
            <w:rStyle w:val="Hyperlink"/>
            <w:rFonts w:ascii="Arial" w:eastAsia="Times New Roman" w:hAnsi="Arial" w:cs="Arial"/>
            <w:sz w:val="24"/>
            <w:szCs w:val="24"/>
          </w:rPr>
          <w:t>gov.uk</w:t>
        </w:r>
      </w:hyperlink>
      <w:r w:rsidRPr="00B73DCB">
        <w:rPr>
          <w:rFonts w:ascii="Arial" w:eastAsia="Times New Roman" w:hAnsi="Arial" w:cs="Arial"/>
          <w:sz w:val="24"/>
          <w:szCs w:val="24"/>
        </w:rPr>
        <w:t xml:space="preserve"> website. </w:t>
      </w:r>
    </w:p>
    <w:p w:rsidR="00FC43EB" w:rsidRPr="005C4714" w:rsidRDefault="00162ECA" w:rsidP="00F54619">
      <w:pPr>
        <w:pStyle w:val="ListParagraph"/>
        <w:numPr>
          <w:ilvl w:val="0"/>
          <w:numId w:val="2"/>
        </w:numPr>
        <w:rPr>
          <w:rFonts w:ascii="Arial" w:eastAsia="Times New Roman" w:hAnsi="Arial" w:cs="Arial"/>
          <w:sz w:val="24"/>
          <w:szCs w:val="24"/>
          <w:lang w:eastAsia="en-US"/>
        </w:rPr>
      </w:pPr>
      <w:r w:rsidRPr="005C4714">
        <w:rPr>
          <w:rFonts w:ascii="Arial" w:eastAsia="Times New Roman" w:hAnsi="Arial" w:cs="Arial"/>
          <w:sz w:val="24"/>
          <w:szCs w:val="24"/>
          <w:lang w:eastAsia="en-US"/>
        </w:rPr>
        <w:t xml:space="preserve">a </w:t>
      </w:r>
      <w:r w:rsidR="00CF6A63" w:rsidRPr="005C4714">
        <w:rPr>
          <w:rFonts w:ascii="Arial" w:eastAsia="Times New Roman" w:hAnsi="Arial" w:cs="Arial"/>
          <w:sz w:val="24"/>
          <w:szCs w:val="24"/>
          <w:lang w:eastAsia="en-US"/>
        </w:rPr>
        <w:t xml:space="preserve">completed </w:t>
      </w:r>
      <w:r w:rsidR="00FC43EB" w:rsidRPr="005C4714">
        <w:rPr>
          <w:rFonts w:ascii="Arial" w:eastAsia="Times New Roman" w:hAnsi="Arial" w:cs="Arial"/>
          <w:sz w:val="24"/>
          <w:szCs w:val="24"/>
          <w:lang w:eastAsia="en-US"/>
        </w:rPr>
        <w:t xml:space="preserve">Waiver Form </w:t>
      </w:r>
      <w:r w:rsidR="002124CD" w:rsidRPr="005C4714">
        <w:rPr>
          <w:rFonts w:ascii="Arial" w:eastAsia="Times New Roman" w:hAnsi="Arial" w:cs="Arial"/>
          <w:sz w:val="24"/>
          <w:szCs w:val="24"/>
          <w:lang w:eastAsia="en-US"/>
        </w:rPr>
        <w:t xml:space="preserve">selecting </w:t>
      </w:r>
      <w:r w:rsidR="00FC43EB" w:rsidRPr="005C4714">
        <w:rPr>
          <w:rFonts w:ascii="Arial" w:eastAsia="Times New Roman" w:hAnsi="Arial" w:cs="Arial"/>
          <w:sz w:val="24"/>
          <w:szCs w:val="24"/>
          <w:lang w:eastAsia="en-US"/>
        </w:rPr>
        <w:t xml:space="preserve">option </w:t>
      </w:r>
      <w:r w:rsidR="006976E0" w:rsidRPr="005C4714">
        <w:rPr>
          <w:rFonts w:ascii="Arial" w:eastAsia="Times New Roman" w:hAnsi="Arial" w:cs="Arial"/>
          <w:sz w:val="24"/>
          <w:szCs w:val="24"/>
          <w:lang w:eastAsia="en-US"/>
        </w:rPr>
        <w:t>‘</w:t>
      </w:r>
      <w:r w:rsidR="002124CD" w:rsidRPr="005C4714">
        <w:rPr>
          <w:rFonts w:ascii="Arial" w:eastAsia="Times New Roman" w:hAnsi="Arial" w:cs="Arial"/>
          <w:sz w:val="24"/>
          <w:szCs w:val="24"/>
          <w:lang w:eastAsia="en-US"/>
        </w:rPr>
        <w:t xml:space="preserve">4. </w:t>
      </w:r>
      <w:r w:rsidR="00FC43EB" w:rsidRPr="005C4714">
        <w:rPr>
          <w:rFonts w:ascii="Arial" w:eastAsia="Times New Roman" w:hAnsi="Arial" w:cs="Arial"/>
          <w:sz w:val="24"/>
          <w:szCs w:val="24"/>
          <w:lang w:eastAsia="en-US"/>
        </w:rPr>
        <w:t>Inability to Supply</w:t>
      </w:r>
      <w:r w:rsidR="006976E0" w:rsidRPr="005C4714">
        <w:rPr>
          <w:rFonts w:ascii="Arial" w:eastAsia="Times New Roman" w:hAnsi="Arial" w:cs="Arial"/>
          <w:sz w:val="24"/>
          <w:szCs w:val="24"/>
          <w:lang w:eastAsia="en-US"/>
        </w:rPr>
        <w:t>’</w:t>
      </w:r>
      <w:r w:rsidR="00FC43EB" w:rsidRPr="005C4714">
        <w:rPr>
          <w:rFonts w:ascii="Arial" w:eastAsia="Times New Roman" w:hAnsi="Arial" w:cs="Arial"/>
          <w:sz w:val="24"/>
          <w:szCs w:val="24"/>
          <w:lang w:eastAsia="en-US"/>
        </w:rPr>
        <w:t xml:space="preserve"> </w:t>
      </w:r>
      <w:r w:rsidRPr="005C4714">
        <w:rPr>
          <w:rFonts w:ascii="Arial" w:eastAsia="Times New Roman" w:hAnsi="Arial" w:cs="Arial"/>
          <w:sz w:val="24"/>
          <w:szCs w:val="24"/>
          <w:lang w:eastAsia="en-US"/>
        </w:rPr>
        <w:t>requesting that the supplier is</w:t>
      </w:r>
      <w:r w:rsidR="00FC43EB" w:rsidRPr="005C4714">
        <w:rPr>
          <w:rFonts w:ascii="Arial" w:eastAsia="Times New Roman" w:hAnsi="Arial" w:cs="Arial"/>
          <w:sz w:val="24"/>
          <w:szCs w:val="24"/>
          <w:lang w:eastAsia="en-US"/>
        </w:rPr>
        <w:t xml:space="preserve"> re-open</w:t>
      </w:r>
      <w:r w:rsidRPr="005C4714">
        <w:rPr>
          <w:rFonts w:ascii="Arial" w:eastAsia="Times New Roman" w:hAnsi="Arial" w:cs="Arial"/>
          <w:sz w:val="24"/>
          <w:szCs w:val="24"/>
          <w:lang w:eastAsia="en-US"/>
        </w:rPr>
        <w:t>ed</w:t>
      </w:r>
      <w:r w:rsidR="00FC43EB" w:rsidRPr="005C4714">
        <w:rPr>
          <w:rFonts w:ascii="Arial" w:eastAsia="Times New Roman" w:hAnsi="Arial" w:cs="Arial"/>
          <w:sz w:val="24"/>
          <w:szCs w:val="24"/>
          <w:lang w:eastAsia="en-US"/>
        </w:rPr>
        <w:t xml:space="preserve"> on eProcurement</w:t>
      </w:r>
      <w:r w:rsidR="005A5517" w:rsidRPr="005C4714">
        <w:rPr>
          <w:rFonts w:ascii="Arial" w:eastAsia="Times New Roman" w:hAnsi="Arial" w:cs="Arial"/>
          <w:sz w:val="24"/>
          <w:szCs w:val="24"/>
          <w:lang w:eastAsia="en-US"/>
        </w:rPr>
        <w:t xml:space="preserve">. </w:t>
      </w:r>
      <w:r w:rsidRPr="005C4714">
        <w:rPr>
          <w:rFonts w:ascii="Arial" w:eastAsia="Times New Roman" w:hAnsi="Arial" w:cs="Arial"/>
          <w:sz w:val="24"/>
          <w:szCs w:val="24"/>
          <w:lang w:eastAsia="en-US"/>
        </w:rPr>
        <w:t xml:space="preserve">In the event that the supplier hasn’t been used before, a New Supplier Form will also need to be completed and submitted along with Waiver Form.  The </w:t>
      </w:r>
      <w:r w:rsidR="005A5517" w:rsidRPr="005C4714">
        <w:rPr>
          <w:rFonts w:ascii="Arial" w:eastAsia="Times New Roman" w:hAnsi="Arial" w:cs="Arial"/>
          <w:sz w:val="24"/>
          <w:szCs w:val="24"/>
          <w:lang w:eastAsia="en-US"/>
        </w:rPr>
        <w:t>Form</w:t>
      </w:r>
      <w:r w:rsidRPr="005C4714">
        <w:rPr>
          <w:rFonts w:ascii="Arial" w:eastAsia="Times New Roman" w:hAnsi="Arial" w:cs="Arial"/>
          <w:sz w:val="24"/>
          <w:szCs w:val="24"/>
          <w:lang w:eastAsia="en-US"/>
        </w:rPr>
        <w:t>s are</w:t>
      </w:r>
      <w:r w:rsidR="005A5517" w:rsidRPr="005C4714">
        <w:rPr>
          <w:rFonts w:ascii="Arial" w:eastAsia="Times New Roman" w:hAnsi="Arial" w:cs="Arial"/>
          <w:sz w:val="24"/>
          <w:szCs w:val="24"/>
          <w:lang w:eastAsia="en-US"/>
        </w:rPr>
        <w:t xml:space="preserve"> available </w:t>
      </w:r>
      <w:r w:rsidR="002124CD" w:rsidRPr="005C4714">
        <w:rPr>
          <w:rFonts w:ascii="Arial" w:eastAsia="Times New Roman" w:hAnsi="Arial" w:cs="Arial"/>
          <w:sz w:val="24"/>
          <w:szCs w:val="24"/>
          <w:lang w:eastAsia="en-US"/>
        </w:rPr>
        <w:t>within</w:t>
      </w:r>
      <w:r w:rsidR="005A5517" w:rsidRPr="005C4714">
        <w:rPr>
          <w:rFonts w:ascii="Arial" w:eastAsia="Times New Roman" w:hAnsi="Arial" w:cs="Arial"/>
          <w:sz w:val="24"/>
          <w:szCs w:val="24"/>
          <w:lang w:eastAsia="en-US"/>
        </w:rPr>
        <w:t xml:space="preserve"> the </w:t>
      </w:r>
      <w:hyperlink r:id="rId19" w:history="1">
        <w:r w:rsidR="005A5517" w:rsidRPr="005C4714">
          <w:rPr>
            <w:rStyle w:val="Hyperlink"/>
            <w:rFonts w:ascii="Arial" w:eastAsia="Times New Roman" w:hAnsi="Arial" w:cs="Arial"/>
            <w:b/>
            <w:bCs/>
            <w:sz w:val="24"/>
            <w:szCs w:val="24"/>
          </w:rPr>
          <w:t>Procurement Library</w:t>
        </w:r>
      </w:hyperlink>
      <w:r w:rsidR="002124CD" w:rsidRPr="005C4714">
        <w:rPr>
          <w:rStyle w:val="Hyperlink"/>
          <w:rFonts w:ascii="Arial" w:eastAsia="Times New Roman" w:hAnsi="Arial" w:cs="Arial"/>
          <w:bCs/>
          <w:color w:val="000000" w:themeColor="text1"/>
          <w:sz w:val="24"/>
          <w:szCs w:val="24"/>
          <w:u w:val="none"/>
        </w:rPr>
        <w:t xml:space="preserve"> on the intranet</w:t>
      </w:r>
    </w:p>
    <w:p w:rsidR="00937883" w:rsidRPr="005C4714" w:rsidRDefault="006976E0" w:rsidP="00F54619">
      <w:pPr>
        <w:pStyle w:val="ListParagraph"/>
        <w:numPr>
          <w:ilvl w:val="0"/>
          <w:numId w:val="2"/>
        </w:numPr>
        <w:rPr>
          <w:rFonts w:ascii="Arial" w:hAnsi="Arial" w:cs="Arial"/>
          <w:sz w:val="24"/>
          <w:szCs w:val="24"/>
        </w:rPr>
      </w:pPr>
      <w:r w:rsidRPr="005C4714">
        <w:rPr>
          <w:rFonts w:ascii="Arial" w:eastAsia="Times New Roman" w:hAnsi="Arial" w:cs="Arial"/>
          <w:sz w:val="24"/>
          <w:szCs w:val="24"/>
          <w:lang w:eastAsia="en-US"/>
        </w:rPr>
        <w:t>An e</w:t>
      </w:r>
      <w:r w:rsidR="00FC43EB" w:rsidRPr="005C4714">
        <w:rPr>
          <w:rFonts w:ascii="Arial" w:eastAsia="Times New Roman" w:hAnsi="Arial" w:cs="Arial"/>
          <w:sz w:val="24"/>
          <w:szCs w:val="24"/>
          <w:lang w:eastAsia="en-US"/>
        </w:rPr>
        <w:t xml:space="preserve">mail </w:t>
      </w:r>
      <w:r w:rsidRPr="005C4714">
        <w:rPr>
          <w:rFonts w:ascii="Arial" w:eastAsia="Times New Roman" w:hAnsi="Arial" w:cs="Arial"/>
          <w:sz w:val="24"/>
          <w:szCs w:val="24"/>
          <w:lang w:eastAsia="en-US"/>
        </w:rPr>
        <w:t xml:space="preserve">from </w:t>
      </w:r>
      <w:r w:rsidR="00DF51BE" w:rsidRPr="005C4714">
        <w:rPr>
          <w:rFonts w:ascii="Arial" w:eastAsia="Times New Roman" w:hAnsi="Arial" w:cs="Arial"/>
          <w:sz w:val="24"/>
          <w:szCs w:val="24"/>
          <w:lang w:eastAsia="en-US"/>
        </w:rPr>
        <w:t xml:space="preserve">the </w:t>
      </w:r>
      <w:r w:rsidR="00FC43EB" w:rsidRPr="005C4714">
        <w:rPr>
          <w:rFonts w:ascii="Arial" w:eastAsia="Times New Roman" w:hAnsi="Arial" w:cs="Arial"/>
          <w:sz w:val="24"/>
          <w:szCs w:val="24"/>
          <w:lang w:eastAsia="en-US"/>
        </w:rPr>
        <w:t xml:space="preserve">local Finance </w:t>
      </w:r>
      <w:r w:rsidR="00937883" w:rsidRPr="005C4714">
        <w:rPr>
          <w:rFonts w:ascii="Arial" w:eastAsia="Times New Roman" w:hAnsi="Arial" w:cs="Arial"/>
          <w:sz w:val="24"/>
          <w:szCs w:val="24"/>
          <w:lang w:eastAsia="en-US"/>
        </w:rPr>
        <w:t xml:space="preserve">Lead </w:t>
      </w:r>
      <w:r w:rsidRPr="005C4714">
        <w:rPr>
          <w:rFonts w:ascii="Arial" w:eastAsia="Times New Roman" w:hAnsi="Arial" w:cs="Arial"/>
          <w:sz w:val="24"/>
          <w:szCs w:val="24"/>
          <w:lang w:eastAsia="en-US"/>
        </w:rPr>
        <w:t>containing approval</w:t>
      </w:r>
      <w:r w:rsidR="00162ECA" w:rsidRPr="005C4714">
        <w:rPr>
          <w:rFonts w:ascii="Arial" w:eastAsia="Times New Roman" w:hAnsi="Arial" w:cs="Arial"/>
          <w:sz w:val="24"/>
          <w:szCs w:val="24"/>
          <w:lang w:eastAsia="en-US"/>
        </w:rPr>
        <w:t xml:space="preserve"> to use an alternative supplier</w:t>
      </w:r>
      <w:r w:rsidR="002124CD" w:rsidRPr="005C4714">
        <w:rPr>
          <w:rFonts w:ascii="Arial" w:eastAsia="Times New Roman" w:hAnsi="Arial" w:cs="Arial"/>
          <w:sz w:val="24"/>
          <w:szCs w:val="24"/>
          <w:lang w:eastAsia="en-US"/>
        </w:rPr>
        <w:t xml:space="preserve"> and the proposed rate from the alternate agency</w:t>
      </w:r>
      <w:r w:rsidR="00DF51BE" w:rsidRPr="005C4714">
        <w:rPr>
          <w:rFonts w:ascii="Arial" w:eastAsia="Times New Roman" w:hAnsi="Arial" w:cs="Arial"/>
          <w:sz w:val="24"/>
          <w:szCs w:val="24"/>
          <w:lang w:eastAsia="en-US"/>
        </w:rPr>
        <w:t>.</w:t>
      </w:r>
    </w:p>
    <w:p w:rsidR="002124CD" w:rsidRPr="005C4714" w:rsidRDefault="002124CD" w:rsidP="00F54619">
      <w:pPr>
        <w:pStyle w:val="ListParagraph"/>
        <w:numPr>
          <w:ilvl w:val="0"/>
          <w:numId w:val="2"/>
        </w:numPr>
        <w:rPr>
          <w:rFonts w:ascii="Arial" w:eastAsia="Times New Roman" w:hAnsi="Arial" w:cs="Arial"/>
          <w:sz w:val="24"/>
          <w:szCs w:val="24"/>
          <w:lang w:eastAsia="en-US"/>
        </w:rPr>
      </w:pPr>
      <w:r w:rsidRPr="005C4714">
        <w:rPr>
          <w:rFonts w:ascii="Arial" w:eastAsia="Times New Roman" w:hAnsi="Arial" w:cs="Arial"/>
          <w:sz w:val="24"/>
          <w:szCs w:val="24"/>
          <w:lang w:eastAsia="en-US"/>
        </w:rPr>
        <w:t>An agency pro forma form complete</w:t>
      </w:r>
      <w:r w:rsidR="00EB5484" w:rsidRPr="005C4714">
        <w:rPr>
          <w:rFonts w:ascii="Arial" w:eastAsia="Times New Roman" w:hAnsi="Arial" w:cs="Arial"/>
          <w:sz w:val="24"/>
          <w:szCs w:val="24"/>
          <w:lang w:eastAsia="en-US"/>
        </w:rPr>
        <w:t>d</w:t>
      </w:r>
      <w:r w:rsidRPr="005C4714">
        <w:rPr>
          <w:rFonts w:ascii="Arial" w:eastAsia="Times New Roman" w:hAnsi="Arial" w:cs="Arial"/>
          <w:sz w:val="24"/>
          <w:szCs w:val="24"/>
          <w:lang w:eastAsia="en-US"/>
        </w:rPr>
        <w:t xml:space="preserve"> by the agency (appendix 1)</w:t>
      </w:r>
      <w:r w:rsidR="00EB5484" w:rsidRPr="005C4714">
        <w:rPr>
          <w:rFonts w:ascii="Arial" w:eastAsia="Times New Roman" w:hAnsi="Arial" w:cs="Arial"/>
          <w:sz w:val="24"/>
          <w:szCs w:val="24"/>
          <w:lang w:eastAsia="en-US"/>
        </w:rPr>
        <w:t xml:space="preserve"> (Only applicable for agency workers and not permanent job offers – note the start date must not be agreed for permanent roles until NCG has undertaken all pre-employment checks)</w:t>
      </w:r>
    </w:p>
    <w:p w:rsidR="008703BE" w:rsidRPr="005C4714" w:rsidRDefault="008703BE" w:rsidP="00F54619">
      <w:pPr>
        <w:pStyle w:val="ListParagraph"/>
        <w:numPr>
          <w:ilvl w:val="0"/>
          <w:numId w:val="2"/>
        </w:numPr>
        <w:rPr>
          <w:rFonts w:ascii="Arial" w:eastAsia="Times New Roman" w:hAnsi="Arial" w:cs="Arial"/>
          <w:sz w:val="24"/>
          <w:szCs w:val="24"/>
          <w:lang w:eastAsia="en-US"/>
        </w:rPr>
      </w:pPr>
      <w:r w:rsidRPr="005C4714">
        <w:rPr>
          <w:rFonts w:ascii="Arial" w:eastAsia="Times New Roman" w:hAnsi="Arial" w:cs="Arial"/>
          <w:sz w:val="24"/>
          <w:szCs w:val="24"/>
          <w:lang w:eastAsia="en-US"/>
        </w:rPr>
        <w:t>A photocopy of their ID (Passport) to evidence that they are who they so they are – please take a copy and sign it to state you’ve seen it etc</w:t>
      </w:r>
    </w:p>
    <w:p w:rsidR="007F5B70" w:rsidRPr="005C4714" w:rsidRDefault="007F5B70" w:rsidP="00F54619">
      <w:pPr>
        <w:pStyle w:val="ListParagraph"/>
        <w:numPr>
          <w:ilvl w:val="0"/>
          <w:numId w:val="2"/>
        </w:numPr>
        <w:rPr>
          <w:rFonts w:ascii="Arial" w:eastAsia="Times New Roman" w:hAnsi="Arial" w:cs="Arial"/>
          <w:sz w:val="24"/>
          <w:szCs w:val="24"/>
          <w:lang w:eastAsia="en-US"/>
        </w:rPr>
      </w:pPr>
      <w:r w:rsidRPr="005C4714">
        <w:rPr>
          <w:rFonts w:ascii="Arial" w:eastAsia="Times New Roman" w:hAnsi="Arial" w:cs="Arial"/>
          <w:sz w:val="24"/>
          <w:szCs w:val="24"/>
          <w:lang w:eastAsia="en-US"/>
        </w:rPr>
        <w:t>A DBS Risk assessment where a candidate</w:t>
      </w:r>
      <w:r w:rsidR="002124CD" w:rsidRPr="005C4714">
        <w:rPr>
          <w:rFonts w:ascii="Arial" w:eastAsia="Times New Roman" w:hAnsi="Arial" w:cs="Arial"/>
          <w:sz w:val="24"/>
          <w:szCs w:val="24"/>
          <w:lang w:eastAsia="en-US"/>
        </w:rPr>
        <w:t>’</w:t>
      </w:r>
      <w:r w:rsidRPr="005C4714">
        <w:rPr>
          <w:rFonts w:ascii="Arial" w:eastAsia="Times New Roman" w:hAnsi="Arial" w:cs="Arial"/>
          <w:sz w:val="24"/>
          <w:szCs w:val="24"/>
          <w:lang w:eastAsia="en-US"/>
        </w:rPr>
        <w:t>s DBS is older than 12 months</w:t>
      </w:r>
      <w:r w:rsidR="00536D01" w:rsidRPr="005C4714">
        <w:rPr>
          <w:rFonts w:ascii="Arial" w:eastAsia="Times New Roman" w:hAnsi="Arial" w:cs="Arial"/>
          <w:sz w:val="24"/>
          <w:szCs w:val="24"/>
          <w:lang w:eastAsia="en-US"/>
        </w:rPr>
        <w:t xml:space="preserve"> </w:t>
      </w:r>
      <w:r w:rsidR="00F54619" w:rsidRPr="005C4714">
        <w:rPr>
          <w:rFonts w:ascii="Arial" w:eastAsia="Times New Roman" w:hAnsi="Arial" w:cs="Arial"/>
          <w:sz w:val="24"/>
          <w:szCs w:val="24"/>
        </w:rPr>
        <w:t xml:space="preserve">and / or gaps in service or missing references, </w:t>
      </w:r>
      <w:r w:rsidR="00536D01" w:rsidRPr="005C4714">
        <w:rPr>
          <w:rFonts w:ascii="Arial" w:eastAsia="Times New Roman" w:hAnsi="Arial" w:cs="Arial"/>
          <w:sz w:val="24"/>
          <w:szCs w:val="24"/>
          <w:lang w:eastAsia="en-US"/>
        </w:rPr>
        <w:t>(risk assessment can be found in the NCG criminal records check policy)</w:t>
      </w:r>
      <w:r w:rsidR="00EB5484" w:rsidRPr="005C4714">
        <w:rPr>
          <w:rFonts w:ascii="Arial" w:eastAsia="Times New Roman" w:hAnsi="Arial" w:cs="Arial"/>
          <w:sz w:val="24"/>
          <w:szCs w:val="24"/>
          <w:lang w:eastAsia="en-US"/>
        </w:rPr>
        <w:t xml:space="preserve"> (Only applicable for agency workers and not permanent job offers)</w:t>
      </w:r>
    </w:p>
    <w:p w:rsidR="007F5B70" w:rsidRPr="005C4714" w:rsidRDefault="007F5B70" w:rsidP="00F54619">
      <w:pPr>
        <w:pStyle w:val="ListParagraph"/>
        <w:numPr>
          <w:ilvl w:val="0"/>
          <w:numId w:val="2"/>
        </w:numPr>
        <w:rPr>
          <w:rFonts w:ascii="Arial" w:eastAsia="Times New Roman" w:hAnsi="Arial" w:cs="Arial"/>
          <w:sz w:val="24"/>
          <w:szCs w:val="24"/>
          <w:lang w:eastAsia="en-US"/>
        </w:rPr>
      </w:pPr>
      <w:r w:rsidRPr="005C4714">
        <w:rPr>
          <w:rFonts w:ascii="Arial" w:eastAsia="Times New Roman" w:hAnsi="Arial" w:cs="Arial"/>
          <w:sz w:val="24"/>
          <w:szCs w:val="24"/>
          <w:lang w:eastAsia="en-US"/>
        </w:rPr>
        <w:t>A DBS declaration form</w:t>
      </w:r>
      <w:r w:rsidR="00536D01" w:rsidRPr="005C4714">
        <w:rPr>
          <w:rFonts w:ascii="Arial" w:eastAsia="Times New Roman" w:hAnsi="Arial" w:cs="Arial"/>
          <w:sz w:val="24"/>
          <w:szCs w:val="24"/>
          <w:lang w:eastAsia="en-US"/>
        </w:rPr>
        <w:t xml:space="preserve"> (appendix 2)</w:t>
      </w:r>
      <w:r w:rsidR="00EB5484" w:rsidRPr="005C4714">
        <w:rPr>
          <w:rFonts w:ascii="Arial" w:eastAsia="Times New Roman" w:hAnsi="Arial" w:cs="Arial"/>
          <w:sz w:val="24"/>
          <w:szCs w:val="24"/>
          <w:lang w:eastAsia="en-US"/>
        </w:rPr>
        <w:t xml:space="preserve"> (Only applicable for agency workers and not permanent job offers)</w:t>
      </w:r>
    </w:p>
    <w:p w:rsidR="00DF51BE" w:rsidRPr="005C4714" w:rsidRDefault="00DF51BE" w:rsidP="00F54619">
      <w:pPr>
        <w:pStyle w:val="ListParagraph"/>
        <w:numPr>
          <w:ilvl w:val="0"/>
          <w:numId w:val="2"/>
        </w:numPr>
        <w:rPr>
          <w:rFonts w:ascii="Arial" w:eastAsia="Times New Roman" w:hAnsi="Arial" w:cs="Arial"/>
          <w:sz w:val="24"/>
          <w:szCs w:val="24"/>
          <w:lang w:eastAsia="en-US"/>
        </w:rPr>
      </w:pPr>
      <w:r w:rsidRPr="005C4714">
        <w:rPr>
          <w:rFonts w:ascii="Arial" w:eastAsia="Times New Roman" w:hAnsi="Arial" w:cs="Arial"/>
          <w:sz w:val="24"/>
          <w:szCs w:val="24"/>
          <w:lang w:eastAsia="en-US"/>
        </w:rPr>
        <w:t>The Terms &amp; Conditions of the recruitment agency</w:t>
      </w:r>
      <w:r w:rsidR="002124CD" w:rsidRPr="005C4714">
        <w:rPr>
          <w:rFonts w:ascii="Arial" w:eastAsia="Times New Roman" w:hAnsi="Arial" w:cs="Arial"/>
          <w:sz w:val="24"/>
          <w:szCs w:val="24"/>
          <w:lang w:eastAsia="en-US"/>
        </w:rPr>
        <w:t xml:space="preserve"> for temporary workers </w:t>
      </w:r>
      <w:r w:rsidR="00EB5484" w:rsidRPr="005C4714">
        <w:rPr>
          <w:rFonts w:ascii="Arial" w:eastAsia="Times New Roman" w:hAnsi="Arial" w:cs="Arial"/>
          <w:sz w:val="24"/>
          <w:szCs w:val="24"/>
          <w:lang w:eastAsia="en-US"/>
        </w:rPr>
        <w:t>and</w:t>
      </w:r>
      <w:r w:rsidR="002124CD" w:rsidRPr="005C4714">
        <w:rPr>
          <w:rFonts w:ascii="Arial" w:eastAsia="Times New Roman" w:hAnsi="Arial" w:cs="Arial"/>
          <w:sz w:val="24"/>
          <w:szCs w:val="24"/>
          <w:lang w:eastAsia="en-US"/>
        </w:rPr>
        <w:t xml:space="preserve"> permanent recruitment</w:t>
      </w:r>
      <w:r w:rsidR="00EB5484" w:rsidRPr="005C4714">
        <w:rPr>
          <w:rFonts w:ascii="Arial" w:eastAsia="Times New Roman" w:hAnsi="Arial" w:cs="Arial"/>
          <w:sz w:val="24"/>
          <w:szCs w:val="24"/>
          <w:lang w:eastAsia="en-US"/>
        </w:rPr>
        <w:t>, as applicable</w:t>
      </w:r>
      <w:r w:rsidR="002124CD" w:rsidRPr="005C4714">
        <w:rPr>
          <w:rFonts w:ascii="Arial" w:eastAsia="Times New Roman" w:hAnsi="Arial" w:cs="Arial"/>
          <w:sz w:val="24"/>
          <w:szCs w:val="24"/>
          <w:lang w:eastAsia="en-US"/>
        </w:rPr>
        <w:t xml:space="preserve"> </w:t>
      </w:r>
    </w:p>
    <w:p w:rsidR="00DF51BE" w:rsidRPr="005C4714" w:rsidRDefault="00DF51BE" w:rsidP="00F54619">
      <w:pPr>
        <w:spacing w:after="0" w:line="240" w:lineRule="auto"/>
        <w:rPr>
          <w:rFonts w:ascii="Arial" w:eastAsia="Times New Roman" w:hAnsi="Arial" w:cs="Arial"/>
          <w:sz w:val="24"/>
          <w:szCs w:val="24"/>
        </w:rPr>
      </w:pPr>
    </w:p>
    <w:p w:rsidR="00DF51BE" w:rsidRPr="005C4714" w:rsidRDefault="00DF51BE" w:rsidP="00F54619">
      <w:pPr>
        <w:spacing w:after="0" w:line="240" w:lineRule="auto"/>
        <w:rPr>
          <w:rFonts w:ascii="Arial" w:eastAsia="Times New Roman" w:hAnsi="Arial" w:cs="Arial"/>
          <w:sz w:val="24"/>
          <w:szCs w:val="24"/>
        </w:rPr>
      </w:pPr>
      <w:r w:rsidRPr="005C4714">
        <w:rPr>
          <w:rFonts w:ascii="Arial" w:eastAsia="Times New Roman" w:hAnsi="Arial" w:cs="Arial"/>
          <w:sz w:val="24"/>
          <w:szCs w:val="24"/>
        </w:rPr>
        <w:t xml:space="preserve">Once submitted the Procurement team will review the information </w:t>
      </w:r>
      <w:r w:rsidR="002124CD" w:rsidRPr="005C4714">
        <w:rPr>
          <w:rFonts w:ascii="Arial" w:eastAsia="Times New Roman" w:hAnsi="Arial" w:cs="Arial"/>
          <w:sz w:val="24"/>
          <w:szCs w:val="24"/>
        </w:rPr>
        <w:t>provided and forward to the relevant approver for each document to enable the offer to be made:</w:t>
      </w:r>
    </w:p>
    <w:p w:rsidR="002124CD" w:rsidRPr="005C4714" w:rsidRDefault="002124CD" w:rsidP="00F54619">
      <w:pPr>
        <w:spacing w:after="0" w:line="240" w:lineRule="auto"/>
        <w:rPr>
          <w:rFonts w:ascii="Arial" w:eastAsia="Times New Roman" w:hAnsi="Arial" w:cs="Arial"/>
          <w:sz w:val="24"/>
          <w:szCs w:val="24"/>
        </w:rPr>
      </w:pPr>
    </w:p>
    <w:p w:rsidR="002124CD" w:rsidRPr="005C4714" w:rsidRDefault="002124CD" w:rsidP="00F54619">
      <w:pPr>
        <w:pStyle w:val="ListParagraph"/>
        <w:numPr>
          <w:ilvl w:val="0"/>
          <w:numId w:val="10"/>
        </w:numPr>
        <w:rPr>
          <w:rFonts w:ascii="Arial" w:eastAsia="Times New Roman" w:hAnsi="Arial" w:cs="Arial"/>
          <w:sz w:val="24"/>
          <w:szCs w:val="24"/>
        </w:rPr>
      </w:pPr>
      <w:r w:rsidRPr="005C4714">
        <w:rPr>
          <w:rFonts w:ascii="Arial" w:eastAsia="Times New Roman" w:hAnsi="Arial" w:cs="Arial"/>
          <w:sz w:val="24"/>
          <w:szCs w:val="24"/>
        </w:rPr>
        <w:t>DBS Risk Assessment to the Director of People and Development for approval.</w:t>
      </w:r>
    </w:p>
    <w:p w:rsidR="002124CD" w:rsidRPr="005C4714" w:rsidRDefault="002124CD" w:rsidP="00F54619">
      <w:pPr>
        <w:pStyle w:val="ListParagraph"/>
        <w:numPr>
          <w:ilvl w:val="0"/>
          <w:numId w:val="10"/>
        </w:numPr>
        <w:rPr>
          <w:rFonts w:ascii="Arial" w:eastAsia="Times New Roman" w:hAnsi="Arial" w:cs="Arial"/>
          <w:sz w:val="24"/>
          <w:szCs w:val="24"/>
        </w:rPr>
      </w:pPr>
      <w:r w:rsidRPr="005C4714">
        <w:rPr>
          <w:rFonts w:ascii="Arial" w:eastAsia="Times New Roman" w:hAnsi="Arial" w:cs="Arial"/>
          <w:sz w:val="24"/>
          <w:szCs w:val="24"/>
        </w:rPr>
        <w:t>Terms and Conditions to the Contracts team to ensure NCG’s liability is acceptable.  If the liability is higher than they would expect, express approval from the Finance Lead for the College will be sought.</w:t>
      </w:r>
    </w:p>
    <w:p w:rsidR="002124CD" w:rsidRPr="005C4714" w:rsidRDefault="002124CD" w:rsidP="00F54619">
      <w:pPr>
        <w:pStyle w:val="ListParagraph"/>
        <w:numPr>
          <w:ilvl w:val="0"/>
          <w:numId w:val="10"/>
        </w:numPr>
        <w:rPr>
          <w:rFonts w:ascii="Arial" w:eastAsia="Times New Roman" w:hAnsi="Arial" w:cs="Arial"/>
          <w:sz w:val="24"/>
          <w:szCs w:val="24"/>
        </w:rPr>
      </w:pPr>
      <w:r w:rsidRPr="005C4714">
        <w:rPr>
          <w:rFonts w:ascii="Arial" w:eastAsia="Times New Roman" w:hAnsi="Arial" w:cs="Arial"/>
          <w:sz w:val="24"/>
          <w:szCs w:val="24"/>
        </w:rPr>
        <w:t>Waiver Form to the Head of Contracts &amp; Procurement for approval, unless the due process has not been followed, and then this will need to be approved by the Chief Finance Officer.</w:t>
      </w:r>
    </w:p>
    <w:p w:rsidR="002124CD" w:rsidRPr="005C4714" w:rsidRDefault="002124CD" w:rsidP="00F54619">
      <w:pPr>
        <w:spacing w:after="0" w:line="240" w:lineRule="auto"/>
        <w:rPr>
          <w:rFonts w:ascii="Arial" w:eastAsia="Times New Roman" w:hAnsi="Arial" w:cs="Arial"/>
          <w:sz w:val="24"/>
          <w:szCs w:val="24"/>
        </w:rPr>
      </w:pPr>
    </w:p>
    <w:p w:rsidR="00DF51BE" w:rsidRPr="005C4714" w:rsidRDefault="00DF51BE" w:rsidP="00F54619">
      <w:pPr>
        <w:spacing w:after="0" w:line="240" w:lineRule="auto"/>
        <w:rPr>
          <w:rFonts w:ascii="Arial" w:eastAsia="Times New Roman" w:hAnsi="Arial" w:cs="Arial"/>
          <w:sz w:val="24"/>
          <w:szCs w:val="24"/>
        </w:rPr>
      </w:pPr>
      <w:r w:rsidRPr="005C4714">
        <w:rPr>
          <w:rFonts w:ascii="Arial" w:eastAsia="Times New Roman" w:hAnsi="Arial" w:cs="Arial"/>
          <w:sz w:val="24"/>
          <w:szCs w:val="24"/>
        </w:rPr>
        <w:t xml:space="preserve">Once </w:t>
      </w:r>
      <w:r w:rsidR="002124CD" w:rsidRPr="005C4714">
        <w:rPr>
          <w:rFonts w:ascii="Arial" w:eastAsia="Times New Roman" w:hAnsi="Arial" w:cs="Arial"/>
          <w:sz w:val="24"/>
          <w:szCs w:val="24"/>
        </w:rPr>
        <w:t xml:space="preserve">the use of the alternative agency has been </w:t>
      </w:r>
      <w:r w:rsidRPr="005C4714">
        <w:rPr>
          <w:rFonts w:ascii="Arial" w:eastAsia="Times New Roman" w:hAnsi="Arial" w:cs="Arial"/>
          <w:sz w:val="24"/>
          <w:szCs w:val="24"/>
        </w:rPr>
        <w:t>approved</w:t>
      </w:r>
      <w:r w:rsidR="002124CD" w:rsidRPr="005C4714">
        <w:rPr>
          <w:rFonts w:ascii="Arial" w:eastAsia="Times New Roman" w:hAnsi="Arial" w:cs="Arial"/>
          <w:sz w:val="24"/>
          <w:szCs w:val="24"/>
        </w:rPr>
        <w:t>,</w:t>
      </w:r>
      <w:r w:rsidRPr="005C4714">
        <w:rPr>
          <w:rFonts w:ascii="Arial" w:eastAsia="Times New Roman" w:hAnsi="Arial" w:cs="Arial"/>
          <w:sz w:val="24"/>
          <w:szCs w:val="24"/>
        </w:rPr>
        <w:t xml:space="preserve"> the </w:t>
      </w:r>
      <w:r w:rsidR="002124CD" w:rsidRPr="005C4714">
        <w:rPr>
          <w:rFonts w:ascii="Arial" w:eastAsia="Times New Roman" w:hAnsi="Arial" w:cs="Arial"/>
          <w:sz w:val="24"/>
          <w:szCs w:val="24"/>
        </w:rPr>
        <w:t>P</w:t>
      </w:r>
      <w:r w:rsidRPr="005C4714">
        <w:rPr>
          <w:rFonts w:ascii="Arial" w:eastAsia="Times New Roman" w:hAnsi="Arial" w:cs="Arial"/>
          <w:sz w:val="24"/>
          <w:szCs w:val="24"/>
        </w:rPr>
        <w:t xml:space="preserve">rocurement team will </w:t>
      </w:r>
      <w:r w:rsidR="002124CD" w:rsidRPr="005C4714">
        <w:rPr>
          <w:rFonts w:ascii="Arial" w:eastAsia="Times New Roman" w:hAnsi="Arial" w:cs="Arial"/>
          <w:sz w:val="24"/>
          <w:szCs w:val="24"/>
        </w:rPr>
        <w:t xml:space="preserve">open the supplier account in eProcurement, so a Purchase Order (see notes below) can be raised by the Recruiting Manager and </w:t>
      </w:r>
      <w:r w:rsidRPr="005C4714">
        <w:rPr>
          <w:rFonts w:ascii="Arial" w:eastAsia="Times New Roman" w:hAnsi="Arial" w:cs="Arial"/>
          <w:sz w:val="24"/>
          <w:szCs w:val="24"/>
        </w:rPr>
        <w:t xml:space="preserve">send </w:t>
      </w:r>
      <w:r w:rsidR="002124CD" w:rsidRPr="005C4714">
        <w:rPr>
          <w:rFonts w:ascii="Arial" w:eastAsia="Times New Roman" w:hAnsi="Arial" w:cs="Arial"/>
          <w:sz w:val="24"/>
          <w:szCs w:val="24"/>
        </w:rPr>
        <w:t>to E</w:t>
      </w:r>
      <w:r w:rsidRPr="005C4714">
        <w:rPr>
          <w:rFonts w:ascii="Arial" w:eastAsia="Times New Roman" w:hAnsi="Arial" w:cs="Arial"/>
          <w:sz w:val="24"/>
          <w:szCs w:val="24"/>
        </w:rPr>
        <w:t xml:space="preserve">mployee </w:t>
      </w:r>
      <w:r w:rsidR="002124CD" w:rsidRPr="005C4714">
        <w:rPr>
          <w:rFonts w:ascii="Arial" w:eastAsia="Times New Roman" w:hAnsi="Arial" w:cs="Arial"/>
          <w:sz w:val="24"/>
          <w:szCs w:val="24"/>
        </w:rPr>
        <w:t>O</w:t>
      </w:r>
      <w:r w:rsidRPr="005C4714">
        <w:rPr>
          <w:rFonts w:ascii="Arial" w:eastAsia="Times New Roman" w:hAnsi="Arial" w:cs="Arial"/>
          <w:sz w:val="24"/>
          <w:szCs w:val="24"/>
        </w:rPr>
        <w:t>perations the following documents in order to keep a record:</w:t>
      </w:r>
    </w:p>
    <w:p w:rsidR="00D80E43" w:rsidRPr="005C4714" w:rsidRDefault="00D80E43" w:rsidP="00F54619">
      <w:pPr>
        <w:spacing w:after="0" w:line="240" w:lineRule="auto"/>
        <w:rPr>
          <w:rFonts w:ascii="Arial" w:eastAsia="Times New Roman" w:hAnsi="Arial" w:cs="Arial"/>
          <w:sz w:val="24"/>
          <w:szCs w:val="24"/>
        </w:rPr>
      </w:pPr>
    </w:p>
    <w:p w:rsidR="00DF51BE" w:rsidRPr="005C4714" w:rsidRDefault="00DF51BE" w:rsidP="00F54619">
      <w:pPr>
        <w:pStyle w:val="ListParagraph"/>
        <w:numPr>
          <w:ilvl w:val="0"/>
          <w:numId w:val="6"/>
        </w:numPr>
        <w:rPr>
          <w:rFonts w:ascii="Arial" w:eastAsia="Times New Roman" w:hAnsi="Arial" w:cs="Arial"/>
          <w:sz w:val="24"/>
          <w:szCs w:val="24"/>
        </w:rPr>
      </w:pPr>
      <w:r w:rsidRPr="005C4714">
        <w:rPr>
          <w:rFonts w:ascii="Arial" w:eastAsia="Times New Roman" w:hAnsi="Arial" w:cs="Arial"/>
          <w:sz w:val="24"/>
          <w:szCs w:val="24"/>
        </w:rPr>
        <w:t xml:space="preserve">DBS Risk </w:t>
      </w:r>
      <w:r w:rsidR="00C30780" w:rsidRPr="005C4714">
        <w:rPr>
          <w:rFonts w:ascii="Arial" w:eastAsia="Times New Roman" w:hAnsi="Arial" w:cs="Arial"/>
          <w:sz w:val="24"/>
          <w:szCs w:val="24"/>
        </w:rPr>
        <w:t>Assessment (where appropriate)</w:t>
      </w:r>
    </w:p>
    <w:p w:rsidR="00DF51BE" w:rsidRPr="005C4714" w:rsidRDefault="00C30780" w:rsidP="00F54619">
      <w:pPr>
        <w:pStyle w:val="ListParagraph"/>
        <w:numPr>
          <w:ilvl w:val="0"/>
          <w:numId w:val="6"/>
        </w:numPr>
        <w:rPr>
          <w:rFonts w:ascii="Arial" w:eastAsia="Times New Roman" w:hAnsi="Arial" w:cs="Arial"/>
          <w:sz w:val="24"/>
          <w:szCs w:val="24"/>
        </w:rPr>
      </w:pPr>
      <w:r w:rsidRPr="005C4714">
        <w:rPr>
          <w:rFonts w:ascii="Arial" w:eastAsia="Times New Roman" w:hAnsi="Arial" w:cs="Arial"/>
          <w:sz w:val="24"/>
          <w:szCs w:val="24"/>
        </w:rPr>
        <w:t>DBS declaration form (where appropriate)</w:t>
      </w:r>
    </w:p>
    <w:p w:rsidR="00C30780" w:rsidRPr="005C4714" w:rsidRDefault="00C30780" w:rsidP="00F54619">
      <w:pPr>
        <w:pStyle w:val="ListParagraph"/>
        <w:numPr>
          <w:ilvl w:val="0"/>
          <w:numId w:val="6"/>
        </w:numPr>
        <w:rPr>
          <w:rFonts w:ascii="Arial" w:eastAsia="Times New Roman" w:hAnsi="Arial" w:cs="Arial"/>
          <w:sz w:val="24"/>
          <w:szCs w:val="24"/>
          <w:lang w:eastAsia="en-US"/>
        </w:rPr>
      </w:pPr>
      <w:r w:rsidRPr="005C4714">
        <w:rPr>
          <w:rFonts w:ascii="Arial" w:eastAsia="Times New Roman" w:hAnsi="Arial" w:cs="Arial"/>
          <w:sz w:val="24"/>
          <w:szCs w:val="24"/>
        </w:rPr>
        <w:t>Agency Pro-Forma</w:t>
      </w:r>
    </w:p>
    <w:p w:rsidR="006976E0" w:rsidRPr="005C4714" w:rsidRDefault="006976E0" w:rsidP="00F54619">
      <w:pPr>
        <w:spacing w:after="0" w:line="240" w:lineRule="auto"/>
        <w:rPr>
          <w:rFonts w:ascii="Arial" w:eastAsia="Times New Roman" w:hAnsi="Arial" w:cs="Arial"/>
          <w:sz w:val="24"/>
          <w:szCs w:val="24"/>
        </w:rPr>
      </w:pPr>
    </w:p>
    <w:p w:rsidR="00D80E43" w:rsidRPr="005C4714" w:rsidRDefault="005E4F8F" w:rsidP="00F54619">
      <w:pPr>
        <w:spacing w:after="0" w:line="240" w:lineRule="auto"/>
        <w:rPr>
          <w:rFonts w:ascii="Arial" w:eastAsia="Times New Roman" w:hAnsi="Arial" w:cs="Arial"/>
          <w:sz w:val="24"/>
          <w:szCs w:val="24"/>
        </w:rPr>
      </w:pPr>
      <w:r w:rsidRPr="005C4714">
        <w:rPr>
          <w:rFonts w:ascii="Arial" w:eastAsia="Times New Roman" w:hAnsi="Arial" w:cs="Arial"/>
          <w:b/>
          <w:sz w:val="24"/>
          <w:szCs w:val="24"/>
        </w:rPr>
        <w:t xml:space="preserve">Use of </w:t>
      </w:r>
      <w:r w:rsidR="00DF51BE" w:rsidRPr="005C4714">
        <w:rPr>
          <w:rFonts w:ascii="Arial" w:eastAsia="Times New Roman" w:hAnsi="Arial" w:cs="Arial"/>
          <w:b/>
          <w:sz w:val="24"/>
          <w:szCs w:val="24"/>
        </w:rPr>
        <w:t>Purchase Orders</w:t>
      </w:r>
    </w:p>
    <w:p w:rsidR="002124CD" w:rsidRPr="005C4714" w:rsidRDefault="00855C6F" w:rsidP="00F54619">
      <w:pPr>
        <w:spacing w:after="0" w:line="240" w:lineRule="auto"/>
        <w:rPr>
          <w:rFonts w:ascii="Arial" w:eastAsia="Times New Roman" w:hAnsi="Arial" w:cs="Arial"/>
          <w:sz w:val="24"/>
          <w:szCs w:val="24"/>
        </w:rPr>
      </w:pPr>
      <w:r w:rsidRPr="005C4714">
        <w:rPr>
          <w:rFonts w:ascii="Arial" w:eastAsia="Times New Roman" w:hAnsi="Arial" w:cs="Arial"/>
          <w:sz w:val="24"/>
          <w:szCs w:val="24"/>
        </w:rPr>
        <w:t>Purchase Orders are only required for agency workers whereby the timesheets are not approved in Talent room</w:t>
      </w:r>
      <w:r w:rsidR="002124CD" w:rsidRPr="005C4714">
        <w:rPr>
          <w:rFonts w:ascii="Arial" w:eastAsia="Times New Roman" w:hAnsi="Arial" w:cs="Arial"/>
          <w:sz w:val="24"/>
          <w:szCs w:val="24"/>
        </w:rPr>
        <w:t xml:space="preserve"> and for all Transfer and Finder’s Fees</w:t>
      </w:r>
      <w:r w:rsidRPr="005C4714">
        <w:rPr>
          <w:rFonts w:ascii="Arial" w:eastAsia="Times New Roman" w:hAnsi="Arial" w:cs="Arial"/>
          <w:sz w:val="24"/>
          <w:szCs w:val="24"/>
        </w:rPr>
        <w:t xml:space="preserve">.  </w:t>
      </w:r>
    </w:p>
    <w:p w:rsidR="002124CD" w:rsidRPr="005C4714" w:rsidRDefault="002124CD" w:rsidP="00F54619">
      <w:pPr>
        <w:spacing w:after="0" w:line="240" w:lineRule="auto"/>
        <w:rPr>
          <w:rFonts w:ascii="Arial" w:eastAsia="Times New Roman" w:hAnsi="Arial" w:cs="Arial"/>
          <w:sz w:val="24"/>
          <w:szCs w:val="24"/>
        </w:rPr>
      </w:pPr>
    </w:p>
    <w:p w:rsidR="002124CD" w:rsidRPr="005C4714" w:rsidRDefault="002124CD" w:rsidP="00EC60C3">
      <w:pPr>
        <w:pStyle w:val="ListParagraph"/>
        <w:numPr>
          <w:ilvl w:val="0"/>
          <w:numId w:val="11"/>
        </w:numPr>
        <w:rPr>
          <w:rFonts w:ascii="Arial" w:eastAsia="Times New Roman" w:hAnsi="Arial" w:cs="Arial"/>
          <w:sz w:val="24"/>
          <w:szCs w:val="24"/>
        </w:rPr>
      </w:pPr>
      <w:r w:rsidRPr="005C4714">
        <w:rPr>
          <w:rFonts w:ascii="Arial" w:eastAsia="Times New Roman" w:hAnsi="Arial" w:cs="Arial"/>
          <w:b/>
          <w:sz w:val="24"/>
          <w:szCs w:val="24"/>
        </w:rPr>
        <w:t>Agency Workers</w:t>
      </w:r>
      <w:r w:rsidR="00EB5484" w:rsidRPr="005C4714">
        <w:rPr>
          <w:rFonts w:ascii="Arial" w:eastAsia="Times New Roman" w:hAnsi="Arial" w:cs="Arial"/>
          <w:b/>
          <w:sz w:val="24"/>
          <w:szCs w:val="24"/>
        </w:rPr>
        <w:t xml:space="preserve"> outside of Morgan Hunt</w:t>
      </w:r>
    </w:p>
    <w:p w:rsidR="00855C6F" w:rsidRPr="005C4714" w:rsidRDefault="00855C6F" w:rsidP="00F54619">
      <w:pPr>
        <w:spacing w:after="0" w:line="240" w:lineRule="auto"/>
        <w:rPr>
          <w:rFonts w:ascii="Arial" w:eastAsia="Times New Roman" w:hAnsi="Arial" w:cs="Arial"/>
          <w:sz w:val="24"/>
          <w:szCs w:val="24"/>
        </w:rPr>
      </w:pPr>
      <w:r w:rsidRPr="005C4714">
        <w:rPr>
          <w:rFonts w:ascii="Arial" w:eastAsia="Times New Roman" w:hAnsi="Arial" w:cs="Arial"/>
          <w:sz w:val="24"/>
          <w:szCs w:val="24"/>
        </w:rPr>
        <w:t>All Purchase Orders must be raised prior to the assignment commencing as QUANTITY orders and for the full duration of the assignment and clearly state:</w:t>
      </w:r>
    </w:p>
    <w:p w:rsidR="002124CD" w:rsidRPr="005C4714" w:rsidRDefault="002124CD" w:rsidP="00F54619">
      <w:pPr>
        <w:spacing w:after="0" w:line="240" w:lineRule="auto"/>
        <w:rPr>
          <w:rFonts w:ascii="Arial" w:eastAsia="Times New Roman" w:hAnsi="Arial" w:cs="Arial"/>
          <w:sz w:val="24"/>
          <w:szCs w:val="24"/>
        </w:rPr>
      </w:pPr>
    </w:p>
    <w:p w:rsidR="00855C6F" w:rsidRPr="005C4714" w:rsidRDefault="00855C6F" w:rsidP="00F54619">
      <w:pPr>
        <w:pStyle w:val="ListParagraph"/>
        <w:numPr>
          <w:ilvl w:val="0"/>
          <w:numId w:val="3"/>
        </w:numPr>
        <w:rPr>
          <w:rFonts w:ascii="Arial" w:eastAsia="Times New Roman" w:hAnsi="Arial" w:cs="Arial"/>
          <w:sz w:val="24"/>
          <w:szCs w:val="24"/>
        </w:rPr>
      </w:pPr>
      <w:r w:rsidRPr="005C4714">
        <w:rPr>
          <w:rFonts w:ascii="Arial" w:eastAsia="Times New Roman" w:hAnsi="Arial" w:cs="Arial"/>
          <w:sz w:val="24"/>
          <w:szCs w:val="24"/>
        </w:rPr>
        <w:t>Job role</w:t>
      </w:r>
    </w:p>
    <w:p w:rsidR="00855C6F" w:rsidRPr="005C4714" w:rsidRDefault="00855C6F" w:rsidP="00F54619">
      <w:pPr>
        <w:pStyle w:val="ListParagraph"/>
        <w:numPr>
          <w:ilvl w:val="0"/>
          <w:numId w:val="3"/>
        </w:numPr>
        <w:rPr>
          <w:rFonts w:ascii="Arial" w:eastAsia="Times New Roman" w:hAnsi="Arial" w:cs="Arial"/>
          <w:sz w:val="24"/>
          <w:szCs w:val="24"/>
        </w:rPr>
      </w:pPr>
      <w:r w:rsidRPr="005C4714">
        <w:rPr>
          <w:rFonts w:ascii="Arial" w:eastAsia="Times New Roman" w:hAnsi="Arial" w:cs="Arial"/>
          <w:sz w:val="24"/>
          <w:szCs w:val="24"/>
        </w:rPr>
        <w:t>Location</w:t>
      </w:r>
    </w:p>
    <w:p w:rsidR="00855C6F" w:rsidRPr="005C4714" w:rsidRDefault="00855C6F" w:rsidP="00F54619">
      <w:pPr>
        <w:pStyle w:val="ListParagraph"/>
        <w:numPr>
          <w:ilvl w:val="0"/>
          <w:numId w:val="3"/>
        </w:numPr>
        <w:rPr>
          <w:rFonts w:ascii="Arial" w:eastAsia="Times New Roman" w:hAnsi="Arial" w:cs="Arial"/>
          <w:sz w:val="24"/>
          <w:szCs w:val="24"/>
        </w:rPr>
      </w:pPr>
      <w:r w:rsidRPr="005C4714">
        <w:rPr>
          <w:rFonts w:ascii="Arial" w:eastAsia="Times New Roman" w:hAnsi="Arial" w:cs="Arial"/>
          <w:sz w:val="24"/>
          <w:szCs w:val="24"/>
        </w:rPr>
        <w:t>Assignment length including start and end date</w:t>
      </w:r>
    </w:p>
    <w:p w:rsidR="00855C6F" w:rsidRPr="005C4714" w:rsidRDefault="00855C6F" w:rsidP="00F54619">
      <w:pPr>
        <w:pStyle w:val="ListParagraph"/>
        <w:numPr>
          <w:ilvl w:val="0"/>
          <w:numId w:val="3"/>
        </w:numPr>
        <w:rPr>
          <w:rFonts w:ascii="Arial" w:eastAsia="Times New Roman" w:hAnsi="Arial" w:cs="Arial"/>
          <w:sz w:val="24"/>
          <w:szCs w:val="24"/>
        </w:rPr>
      </w:pPr>
      <w:r w:rsidRPr="005C4714">
        <w:rPr>
          <w:rFonts w:ascii="Arial" w:eastAsia="Times New Roman" w:hAnsi="Arial" w:cs="Arial"/>
          <w:sz w:val="24"/>
          <w:szCs w:val="24"/>
        </w:rPr>
        <w:t xml:space="preserve">That the assignment is a </w:t>
      </w:r>
      <w:r w:rsidR="006976E0" w:rsidRPr="005C4714">
        <w:rPr>
          <w:rFonts w:ascii="Arial" w:eastAsia="Times New Roman" w:hAnsi="Arial" w:cs="Arial"/>
          <w:sz w:val="24"/>
          <w:szCs w:val="24"/>
        </w:rPr>
        <w:t>one</w:t>
      </w:r>
      <w:r w:rsidRPr="005C4714">
        <w:rPr>
          <w:rFonts w:ascii="Arial" w:eastAsia="Times New Roman" w:hAnsi="Arial" w:cs="Arial"/>
          <w:sz w:val="24"/>
          <w:szCs w:val="24"/>
        </w:rPr>
        <w:t>-time</w:t>
      </w:r>
      <w:r w:rsidR="006976E0" w:rsidRPr="005C4714">
        <w:rPr>
          <w:rFonts w:ascii="Arial" w:eastAsia="Times New Roman" w:hAnsi="Arial" w:cs="Arial"/>
          <w:sz w:val="24"/>
          <w:szCs w:val="24"/>
        </w:rPr>
        <w:t xml:space="preserve"> assignment</w:t>
      </w:r>
    </w:p>
    <w:p w:rsidR="00FC43EB" w:rsidRPr="005C4714" w:rsidRDefault="00855C6F" w:rsidP="00F54619">
      <w:pPr>
        <w:pStyle w:val="ListParagraph"/>
        <w:numPr>
          <w:ilvl w:val="0"/>
          <w:numId w:val="3"/>
        </w:numPr>
        <w:rPr>
          <w:rFonts w:ascii="Arial" w:eastAsia="Times New Roman" w:hAnsi="Arial" w:cs="Arial"/>
          <w:sz w:val="24"/>
          <w:szCs w:val="24"/>
        </w:rPr>
      </w:pPr>
      <w:r w:rsidRPr="005C4714">
        <w:rPr>
          <w:rFonts w:ascii="Arial" w:eastAsia="Times New Roman" w:hAnsi="Arial" w:cs="Arial"/>
          <w:sz w:val="24"/>
          <w:szCs w:val="24"/>
        </w:rPr>
        <w:t xml:space="preserve">The number of hours authorised along with the charge out rate.  You should also ensure that you agree prior to the appointment the </w:t>
      </w:r>
      <w:r w:rsidR="00162ECA" w:rsidRPr="005C4714">
        <w:rPr>
          <w:rFonts w:ascii="Arial" w:eastAsia="Times New Roman" w:hAnsi="Arial" w:cs="Arial"/>
          <w:sz w:val="24"/>
          <w:szCs w:val="24"/>
        </w:rPr>
        <w:t xml:space="preserve">transfer fee should the candidate apply and be successful for a permanent role with NCG within 6 months’ of leaving their assignment. </w:t>
      </w:r>
    </w:p>
    <w:p w:rsidR="00855C6F" w:rsidRPr="005C4714" w:rsidRDefault="00855C6F" w:rsidP="00F54619">
      <w:pPr>
        <w:spacing w:after="0" w:line="240" w:lineRule="auto"/>
        <w:rPr>
          <w:rFonts w:ascii="Arial" w:eastAsia="Times New Roman" w:hAnsi="Arial" w:cs="Arial"/>
          <w:sz w:val="24"/>
          <w:szCs w:val="24"/>
        </w:rPr>
      </w:pPr>
    </w:p>
    <w:p w:rsidR="00855C6F" w:rsidRPr="005C4714" w:rsidRDefault="00DF51BE" w:rsidP="00F54619">
      <w:pPr>
        <w:spacing w:after="0" w:line="240" w:lineRule="auto"/>
        <w:rPr>
          <w:rFonts w:ascii="Arial" w:eastAsia="Times New Roman" w:hAnsi="Arial" w:cs="Arial"/>
          <w:sz w:val="24"/>
          <w:szCs w:val="24"/>
        </w:rPr>
      </w:pPr>
      <w:r w:rsidRPr="005C4714">
        <w:rPr>
          <w:rFonts w:ascii="Arial" w:eastAsia="Times New Roman" w:hAnsi="Arial" w:cs="Arial"/>
          <w:sz w:val="24"/>
          <w:szCs w:val="24"/>
        </w:rPr>
        <w:t xml:space="preserve">The </w:t>
      </w:r>
      <w:r w:rsidR="00EB5484" w:rsidRPr="005C4714">
        <w:rPr>
          <w:rFonts w:ascii="Arial" w:eastAsia="Times New Roman" w:hAnsi="Arial" w:cs="Arial"/>
          <w:sz w:val="24"/>
          <w:szCs w:val="24"/>
        </w:rPr>
        <w:t>R</w:t>
      </w:r>
      <w:r w:rsidRPr="005C4714">
        <w:rPr>
          <w:rFonts w:ascii="Arial" w:eastAsia="Times New Roman" w:hAnsi="Arial" w:cs="Arial"/>
          <w:sz w:val="24"/>
          <w:szCs w:val="24"/>
        </w:rPr>
        <w:t xml:space="preserve">ecruiting </w:t>
      </w:r>
      <w:r w:rsidR="00EB5484" w:rsidRPr="005C4714">
        <w:rPr>
          <w:rFonts w:ascii="Arial" w:eastAsia="Times New Roman" w:hAnsi="Arial" w:cs="Arial"/>
          <w:sz w:val="24"/>
          <w:szCs w:val="24"/>
        </w:rPr>
        <w:t>M</w:t>
      </w:r>
      <w:r w:rsidRPr="005C4714">
        <w:rPr>
          <w:rFonts w:ascii="Arial" w:eastAsia="Times New Roman" w:hAnsi="Arial" w:cs="Arial"/>
          <w:sz w:val="24"/>
          <w:szCs w:val="24"/>
        </w:rPr>
        <w:t xml:space="preserve">anager will need </w:t>
      </w:r>
      <w:r w:rsidR="00855C6F" w:rsidRPr="005C4714">
        <w:rPr>
          <w:rFonts w:ascii="Arial" w:eastAsia="Times New Roman" w:hAnsi="Arial" w:cs="Arial"/>
          <w:sz w:val="24"/>
          <w:szCs w:val="24"/>
        </w:rPr>
        <w:t>to receipt the Purchase Order weekly once the timesheet has been approved to ensure timely payment of invoices.</w:t>
      </w:r>
    </w:p>
    <w:p w:rsidR="00EB5484" w:rsidRPr="005C4714" w:rsidRDefault="00EB5484" w:rsidP="00F54619">
      <w:pPr>
        <w:spacing w:after="0" w:line="240" w:lineRule="auto"/>
        <w:rPr>
          <w:rFonts w:ascii="Arial" w:eastAsia="Times New Roman" w:hAnsi="Arial" w:cs="Arial"/>
          <w:sz w:val="24"/>
          <w:szCs w:val="24"/>
        </w:rPr>
      </w:pPr>
    </w:p>
    <w:p w:rsidR="00855C6F" w:rsidRPr="005C4714" w:rsidRDefault="00855C6F" w:rsidP="00F54619">
      <w:pPr>
        <w:spacing w:after="0" w:line="240" w:lineRule="auto"/>
        <w:rPr>
          <w:rFonts w:ascii="Arial" w:eastAsia="Times New Roman" w:hAnsi="Arial" w:cs="Arial"/>
          <w:sz w:val="24"/>
          <w:szCs w:val="24"/>
        </w:rPr>
      </w:pPr>
      <w:r w:rsidRPr="005C4714">
        <w:rPr>
          <w:rFonts w:ascii="Arial" w:eastAsia="Times New Roman" w:hAnsi="Arial" w:cs="Arial"/>
          <w:sz w:val="24"/>
          <w:szCs w:val="24"/>
        </w:rPr>
        <w:t>Please note, for candidates through Morgan Hunt and Talent room once the timesheet is approved in Talent toom, the invoice will automatically be paid by Accounts Payable by the due date.  Therefore, please ensure you check the timesheet before approving.</w:t>
      </w:r>
    </w:p>
    <w:p w:rsidR="00EB5484" w:rsidRPr="005C4714" w:rsidRDefault="00EB5484" w:rsidP="00F54619">
      <w:pPr>
        <w:spacing w:after="0" w:line="240" w:lineRule="auto"/>
        <w:rPr>
          <w:rFonts w:ascii="Arial" w:eastAsia="Times New Roman" w:hAnsi="Arial" w:cs="Arial"/>
          <w:sz w:val="24"/>
          <w:szCs w:val="24"/>
        </w:rPr>
      </w:pPr>
    </w:p>
    <w:p w:rsidR="00EB5484" w:rsidRPr="005C4714" w:rsidRDefault="00EB5484" w:rsidP="00C03833">
      <w:pPr>
        <w:pStyle w:val="ListParagraph"/>
        <w:numPr>
          <w:ilvl w:val="0"/>
          <w:numId w:val="11"/>
        </w:numPr>
        <w:rPr>
          <w:rFonts w:ascii="Arial" w:eastAsia="Times New Roman" w:hAnsi="Arial" w:cs="Arial"/>
          <w:sz w:val="24"/>
          <w:szCs w:val="24"/>
        </w:rPr>
      </w:pPr>
      <w:r w:rsidRPr="005C4714">
        <w:rPr>
          <w:rFonts w:ascii="Arial" w:eastAsia="Times New Roman" w:hAnsi="Arial" w:cs="Arial"/>
          <w:b/>
          <w:sz w:val="24"/>
          <w:szCs w:val="24"/>
        </w:rPr>
        <w:t>All Transfer and Finder’s Fees</w:t>
      </w:r>
    </w:p>
    <w:p w:rsidR="005E4F8F" w:rsidRPr="005C4714" w:rsidRDefault="005E4F8F" w:rsidP="00F54619">
      <w:pPr>
        <w:spacing w:after="0" w:line="240" w:lineRule="auto"/>
        <w:rPr>
          <w:rFonts w:ascii="Arial" w:eastAsia="Times New Roman" w:hAnsi="Arial" w:cs="Arial"/>
          <w:sz w:val="24"/>
          <w:szCs w:val="24"/>
        </w:rPr>
      </w:pPr>
      <w:r w:rsidRPr="005C4714">
        <w:rPr>
          <w:rFonts w:ascii="Arial" w:eastAsia="Times New Roman" w:hAnsi="Arial" w:cs="Arial"/>
          <w:sz w:val="24"/>
          <w:szCs w:val="24"/>
        </w:rPr>
        <w:t xml:space="preserve">The NCG Recruitment Process should be followed for all permanent recruitment.  If you intend to use an agency as part of the recruitment, you must specify within the requisition in </w:t>
      </w:r>
      <w:proofErr w:type="spellStart"/>
      <w:r w:rsidRPr="005C4714">
        <w:rPr>
          <w:rFonts w:ascii="Arial" w:eastAsia="Times New Roman" w:hAnsi="Arial" w:cs="Arial"/>
          <w:sz w:val="24"/>
          <w:szCs w:val="24"/>
        </w:rPr>
        <w:t>Networx</w:t>
      </w:r>
      <w:proofErr w:type="spellEnd"/>
      <w:r w:rsidRPr="005C4714">
        <w:rPr>
          <w:rFonts w:ascii="Arial" w:eastAsia="Times New Roman" w:hAnsi="Arial" w:cs="Arial"/>
          <w:sz w:val="24"/>
          <w:szCs w:val="24"/>
        </w:rPr>
        <w:t xml:space="preserve">.  You must only approach Morgan Hunt to support with the recruitment initially.  If Morgan Hunt are unable to source suitable candidates, the same process to go outside the preferred supplier for agency workers should be followed, with the exception pre-employment checks, which will be undertaken by the Recruitment team once the offer is raised in </w:t>
      </w:r>
      <w:proofErr w:type="spellStart"/>
      <w:r w:rsidRPr="005C4714">
        <w:rPr>
          <w:rFonts w:ascii="Arial" w:eastAsia="Times New Roman" w:hAnsi="Arial" w:cs="Arial"/>
          <w:sz w:val="24"/>
          <w:szCs w:val="24"/>
        </w:rPr>
        <w:t>Networx</w:t>
      </w:r>
      <w:proofErr w:type="spellEnd"/>
      <w:r w:rsidRPr="005C4714">
        <w:rPr>
          <w:rFonts w:ascii="Arial" w:eastAsia="Times New Roman" w:hAnsi="Arial" w:cs="Arial"/>
          <w:sz w:val="24"/>
          <w:szCs w:val="24"/>
        </w:rPr>
        <w:t xml:space="preserve">.  </w:t>
      </w:r>
    </w:p>
    <w:p w:rsidR="005E4F8F" w:rsidRPr="005C4714" w:rsidRDefault="005E4F8F" w:rsidP="00F54619">
      <w:pPr>
        <w:spacing w:after="0" w:line="240" w:lineRule="auto"/>
        <w:rPr>
          <w:rFonts w:ascii="Arial" w:eastAsia="Times New Roman" w:hAnsi="Arial" w:cs="Arial"/>
          <w:sz w:val="24"/>
          <w:szCs w:val="24"/>
        </w:rPr>
      </w:pPr>
    </w:p>
    <w:p w:rsidR="00855C6F" w:rsidRPr="005C4714" w:rsidRDefault="00855C6F" w:rsidP="00F54619">
      <w:pPr>
        <w:spacing w:after="0" w:line="240" w:lineRule="auto"/>
        <w:rPr>
          <w:rFonts w:ascii="Arial" w:eastAsia="Times New Roman" w:hAnsi="Arial" w:cs="Arial"/>
          <w:sz w:val="24"/>
          <w:szCs w:val="24"/>
        </w:rPr>
      </w:pPr>
      <w:r w:rsidRPr="005C4714">
        <w:rPr>
          <w:rFonts w:ascii="Arial" w:eastAsia="Times New Roman" w:hAnsi="Arial" w:cs="Arial"/>
          <w:sz w:val="24"/>
          <w:szCs w:val="24"/>
        </w:rPr>
        <w:t>If a candidate subsequently join</w:t>
      </w:r>
      <w:r w:rsidR="00EB5484" w:rsidRPr="005C4714">
        <w:rPr>
          <w:rFonts w:ascii="Arial" w:eastAsia="Times New Roman" w:hAnsi="Arial" w:cs="Arial"/>
          <w:sz w:val="24"/>
          <w:szCs w:val="24"/>
        </w:rPr>
        <w:t>s NCG</w:t>
      </w:r>
      <w:r w:rsidRPr="005C4714">
        <w:rPr>
          <w:rFonts w:ascii="Arial" w:eastAsia="Times New Roman" w:hAnsi="Arial" w:cs="Arial"/>
          <w:sz w:val="24"/>
          <w:szCs w:val="24"/>
        </w:rPr>
        <w:t xml:space="preserve"> as a permanent employee</w:t>
      </w:r>
      <w:r w:rsidR="005E4F8F" w:rsidRPr="005C4714">
        <w:rPr>
          <w:rFonts w:ascii="Arial" w:eastAsia="Times New Roman" w:hAnsi="Arial" w:cs="Arial"/>
          <w:sz w:val="24"/>
          <w:szCs w:val="24"/>
        </w:rPr>
        <w:t xml:space="preserve"> at the end of the recruitment process</w:t>
      </w:r>
      <w:r w:rsidRPr="005C4714">
        <w:rPr>
          <w:rFonts w:ascii="Arial" w:eastAsia="Times New Roman" w:hAnsi="Arial" w:cs="Arial"/>
          <w:sz w:val="24"/>
          <w:szCs w:val="24"/>
        </w:rPr>
        <w:t xml:space="preserve">, and a transfer fee is payable to Morgan Hunt or an alternative agency, a </w:t>
      </w:r>
      <w:r w:rsidR="00EB5484" w:rsidRPr="005C4714">
        <w:rPr>
          <w:rFonts w:ascii="Arial" w:eastAsia="Times New Roman" w:hAnsi="Arial" w:cs="Arial"/>
          <w:sz w:val="24"/>
          <w:szCs w:val="24"/>
        </w:rPr>
        <w:t>P</w:t>
      </w:r>
      <w:r w:rsidRPr="005C4714">
        <w:rPr>
          <w:rFonts w:ascii="Arial" w:eastAsia="Times New Roman" w:hAnsi="Arial" w:cs="Arial"/>
          <w:sz w:val="24"/>
          <w:szCs w:val="24"/>
        </w:rPr>
        <w:t xml:space="preserve">urchase </w:t>
      </w:r>
      <w:r w:rsidR="00EB5484" w:rsidRPr="005C4714">
        <w:rPr>
          <w:rFonts w:ascii="Arial" w:eastAsia="Times New Roman" w:hAnsi="Arial" w:cs="Arial"/>
          <w:sz w:val="24"/>
          <w:szCs w:val="24"/>
        </w:rPr>
        <w:t>O</w:t>
      </w:r>
      <w:r w:rsidRPr="005C4714">
        <w:rPr>
          <w:rFonts w:ascii="Arial" w:eastAsia="Times New Roman" w:hAnsi="Arial" w:cs="Arial"/>
          <w:sz w:val="24"/>
          <w:szCs w:val="24"/>
        </w:rPr>
        <w:t xml:space="preserve">rder must be raised for the </w:t>
      </w:r>
      <w:r w:rsidR="00EB1D82" w:rsidRPr="005C4714">
        <w:rPr>
          <w:rFonts w:ascii="Arial" w:eastAsia="Times New Roman" w:hAnsi="Arial" w:cs="Arial"/>
          <w:sz w:val="24"/>
          <w:szCs w:val="24"/>
        </w:rPr>
        <w:t>appointment in eProcurement before the individual starts their employment with us.</w:t>
      </w:r>
    </w:p>
    <w:p w:rsidR="00EB5484" w:rsidRPr="005C4714" w:rsidRDefault="00EB5484" w:rsidP="00F54619">
      <w:pPr>
        <w:spacing w:after="0" w:line="240" w:lineRule="auto"/>
        <w:rPr>
          <w:rFonts w:ascii="Arial" w:eastAsia="Times New Roman" w:hAnsi="Arial" w:cs="Arial"/>
          <w:sz w:val="24"/>
          <w:szCs w:val="24"/>
        </w:rPr>
      </w:pPr>
    </w:p>
    <w:p w:rsidR="00EB5484" w:rsidRPr="005C4714" w:rsidRDefault="00EB5484" w:rsidP="00F54619">
      <w:pPr>
        <w:spacing w:after="0" w:line="240" w:lineRule="auto"/>
        <w:rPr>
          <w:rFonts w:ascii="Arial" w:eastAsia="Times New Roman" w:hAnsi="Arial" w:cs="Arial"/>
          <w:sz w:val="24"/>
          <w:szCs w:val="24"/>
        </w:rPr>
      </w:pPr>
      <w:r w:rsidRPr="005C4714">
        <w:rPr>
          <w:rFonts w:ascii="Arial" w:eastAsia="Times New Roman" w:hAnsi="Arial" w:cs="Arial"/>
          <w:sz w:val="24"/>
          <w:szCs w:val="24"/>
        </w:rPr>
        <w:t>If you are using an alternative agency to Morgan Hunt and their supply chain, you should ensure you negotiate the transfer or finder’s fee before any offer is made to the candidate or the agency worker joins NCG</w:t>
      </w:r>
      <w:r w:rsidR="005E4F8F" w:rsidRPr="005C4714">
        <w:rPr>
          <w:rFonts w:ascii="Arial" w:eastAsia="Times New Roman" w:hAnsi="Arial" w:cs="Arial"/>
          <w:sz w:val="24"/>
          <w:szCs w:val="24"/>
        </w:rPr>
        <w:t xml:space="preserve"> for their initial assignment</w:t>
      </w:r>
      <w:r w:rsidRPr="005C4714">
        <w:rPr>
          <w:rFonts w:ascii="Arial" w:eastAsia="Times New Roman" w:hAnsi="Arial" w:cs="Arial"/>
          <w:sz w:val="24"/>
          <w:szCs w:val="24"/>
        </w:rPr>
        <w:t xml:space="preserve">.  </w:t>
      </w:r>
    </w:p>
    <w:p w:rsidR="00EB5484" w:rsidRPr="005C4714" w:rsidRDefault="00EB5484" w:rsidP="00F54619">
      <w:pPr>
        <w:spacing w:after="0" w:line="240" w:lineRule="auto"/>
        <w:rPr>
          <w:rFonts w:ascii="Arial" w:eastAsia="Times New Roman" w:hAnsi="Arial" w:cs="Arial"/>
          <w:sz w:val="24"/>
          <w:szCs w:val="24"/>
        </w:rPr>
      </w:pPr>
    </w:p>
    <w:p w:rsidR="00EB5484" w:rsidRPr="005C4714" w:rsidRDefault="00EB5484" w:rsidP="00F54619">
      <w:pPr>
        <w:spacing w:after="0" w:line="240" w:lineRule="auto"/>
        <w:rPr>
          <w:rFonts w:ascii="Arial" w:eastAsia="Times New Roman" w:hAnsi="Arial" w:cs="Arial"/>
          <w:sz w:val="24"/>
          <w:szCs w:val="24"/>
        </w:rPr>
      </w:pPr>
      <w:r w:rsidRPr="005C4714">
        <w:rPr>
          <w:rFonts w:ascii="Arial" w:eastAsia="Times New Roman" w:hAnsi="Arial" w:cs="Arial"/>
          <w:sz w:val="24"/>
          <w:szCs w:val="24"/>
        </w:rPr>
        <w:t>Transfer and Finder’s Fees can range from 8% to in some cases 40% of salary, so it is crucial that Finance Leads are aware of these before approving the offer.</w:t>
      </w:r>
      <w:r w:rsidR="005E4F8F" w:rsidRPr="005C4714">
        <w:rPr>
          <w:rFonts w:ascii="Arial" w:eastAsia="Times New Roman" w:hAnsi="Arial" w:cs="Arial"/>
          <w:sz w:val="24"/>
          <w:szCs w:val="24"/>
        </w:rPr>
        <w:t xml:space="preserve"> Where possible, these fees should be as close as possible to the Morgan Hunt agreed rate of 10%.</w:t>
      </w:r>
    </w:p>
    <w:p w:rsidR="00C30780" w:rsidRPr="005C4714" w:rsidRDefault="00C30780" w:rsidP="00F54619">
      <w:pPr>
        <w:spacing w:after="0" w:line="240" w:lineRule="auto"/>
        <w:rPr>
          <w:rFonts w:ascii="Arial" w:eastAsia="Times New Roman" w:hAnsi="Arial" w:cs="Arial"/>
          <w:sz w:val="24"/>
          <w:szCs w:val="24"/>
        </w:rPr>
      </w:pPr>
    </w:p>
    <w:p w:rsidR="00D80E43" w:rsidRPr="005C4714" w:rsidRDefault="005E4F8F" w:rsidP="00F54619">
      <w:pPr>
        <w:spacing w:after="0" w:line="240" w:lineRule="auto"/>
        <w:rPr>
          <w:rFonts w:ascii="Arial" w:eastAsia="Times New Roman" w:hAnsi="Arial" w:cs="Arial"/>
          <w:sz w:val="24"/>
          <w:szCs w:val="24"/>
        </w:rPr>
      </w:pPr>
      <w:r w:rsidRPr="005C4714">
        <w:rPr>
          <w:rFonts w:ascii="Arial" w:eastAsia="Times New Roman" w:hAnsi="Arial" w:cs="Arial"/>
          <w:b/>
          <w:sz w:val="24"/>
          <w:szCs w:val="24"/>
        </w:rPr>
        <w:t>Pre-Employment c</w:t>
      </w:r>
      <w:r w:rsidR="00FC43EB" w:rsidRPr="005C4714">
        <w:rPr>
          <w:rFonts w:ascii="Arial" w:eastAsia="Times New Roman" w:hAnsi="Arial" w:cs="Arial"/>
          <w:b/>
          <w:sz w:val="24"/>
          <w:szCs w:val="24"/>
        </w:rPr>
        <w:t>ompliance requirements</w:t>
      </w:r>
    </w:p>
    <w:p w:rsidR="0016508C" w:rsidRPr="0016508C" w:rsidRDefault="00CF6A63" w:rsidP="00F54619">
      <w:pPr>
        <w:spacing w:after="0" w:line="240" w:lineRule="auto"/>
        <w:rPr>
          <w:rFonts w:ascii="Arial" w:eastAsia="Times New Roman" w:hAnsi="Arial" w:cs="Arial"/>
          <w:sz w:val="24"/>
          <w:szCs w:val="24"/>
        </w:rPr>
      </w:pPr>
      <w:r w:rsidRPr="005C4714">
        <w:rPr>
          <w:rFonts w:ascii="Arial" w:eastAsia="Times New Roman" w:hAnsi="Arial" w:cs="Arial"/>
          <w:sz w:val="24"/>
          <w:szCs w:val="24"/>
        </w:rPr>
        <w:t xml:space="preserve">The </w:t>
      </w:r>
      <w:r w:rsidR="00162ECA" w:rsidRPr="005C4714">
        <w:rPr>
          <w:rFonts w:ascii="Arial" w:eastAsia="Times New Roman" w:hAnsi="Arial" w:cs="Arial"/>
          <w:sz w:val="24"/>
          <w:szCs w:val="24"/>
        </w:rPr>
        <w:t xml:space="preserve">Recruiting Manager </w:t>
      </w:r>
      <w:r w:rsidR="006976E0" w:rsidRPr="005C4714">
        <w:rPr>
          <w:rFonts w:ascii="Arial" w:eastAsia="Times New Roman" w:hAnsi="Arial" w:cs="Arial"/>
          <w:sz w:val="24"/>
          <w:szCs w:val="24"/>
        </w:rPr>
        <w:t xml:space="preserve">will need to ensure that the </w:t>
      </w:r>
      <w:r w:rsidRPr="005C4714">
        <w:rPr>
          <w:rFonts w:ascii="Arial" w:eastAsia="Times New Roman" w:hAnsi="Arial" w:cs="Arial"/>
          <w:sz w:val="24"/>
          <w:szCs w:val="24"/>
        </w:rPr>
        <w:t xml:space="preserve">agency </w:t>
      </w:r>
      <w:r w:rsidR="006976E0" w:rsidRPr="005C4714">
        <w:rPr>
          <w:rFonts w:ascii="Arial" w:eastAsia="Times New Roman" w:hAnsi="Arial" w:cs="Arial"/>
          <w:sz w:val="24"/>
          <w:szCs w:val="24"/>
        </w:rPr>
        <w:t>is compliant with NCG requirements in regards to employment checks</w:t>
      </w:r>
      <w:r w:rsidR="00DC32BE" w:rsidRPr="005C4714">
        <w:rPr>
          <w:rFonts w:ascii="Arial" w:eastAsia="Times New Roman" w:hAnsi="Arial" w:cs="Arial"/>
          <w:sz w:val="24"/>
          <w:szCs w:val="24"/>
        </w:rPr>
        <w:t xml:space="preserve"> including DBS, Home Office and references</w:t>
      </w:r>
      <w:r w:rsidR="00855C6F" w:rsidRPr="005C4714">
        <w:rPr>
          <w:rFonts w:ascii="Arial" w:eastAsia="Times New Roman" w:hAnsi="Arial" w:cs="Arial"/>
          <w:sz w:val="24"/>
          <w:szCs w:val="24"/>
        </w:rPr>
        <w:t xml:space="preserve"> and that such checks have taken place prior to the candidate being presented to us</w:t>
      </w:r>
      <w:r w:rsidR="006976E0" w:rsidRPr="005C4714">
        <w:rPr>
          <w:rFonts w:ascii="Arial" w:eastAsia="Times New Roman" w:hAnsi="Arial" w:cs="Arial"/>
          <w:sz w:val="24"/>
          <w:szCs w:val="24"/>
        </w:rPr>
        <w:t>.</w:t>
      </w:r>
      <w:r w:rsidR="006976E0" w:rsidRPr="00C30780">
        <w:rPr>
          <w:rFonts w:ascii="Arial" w:eastAsia="Times New Roman" w:hAnsi="Arial" w:cs="Arial"/>
          <w:sz w:val="24"/>
          <w:szCs w:val="24"/>
        </w:rPr>
        <w:t xml:space="preserve"> </w:t>
      </w:r>
      <w:r w:rsidR="0016508C" w:rsidRPr="0016508C">
        <w:rPr>
          <w:rFonts w:ascii="Arial" w:eastAsia="Times New Roman" w:hAnsi="Arial" w:cs="Arial"/>
          <w:sz w:val="24"/>
          <w:szCs w:val="24"/>
        </w:rPr>
        <w:br w:type="page"/>
      </w:r>
    </w:p>
    <w:p w:rsidR="0016508C" w:rsidRPr="0016508C" w:rsidRDefault="00D80E43" w:rsidP="0016508C">
      <w:pPr>
        <w:ind w:left="-567"/>
        <w:rPr>
          <w:rFonts w:ascii="Arial" w:hAnsi="Arial" w:cs="Arial"/>
          <w:b/>
          <w:bCs/>
          <w:sz w:val="24"/>
          <w:szCs w:val="24"/>
        </w:rPr>
      </w:pPr>
      <w:r>
        <w:rPr>
          <w:rFonts w:ascii="Arial" w:hAnsi="Arial" w:cs="Arial"/>
          <w:b/>
          <w:bCs/>
          <w:sz w:val="24"/>
          <w:szCs w:val="24"/>
        </w:rPr>
        <w:t xml:space="preserve">Appendix 1: </w:t>
      </w:r>
      <w:r w:rsidR="0016508C" w:rsidRPr="0016508C">
        <w:rPr>
          <w:rFonts w:ascii="Arial" w:hAnsi="Arial" w:cs="Arial"/>
          <w:b/>
          <w:bCs/>
          <w:sz w:val="24"/>
          <w:szCs w:val="24"/>
        </w:rPr>
        <w:t>Agency Pro-Forma</w:t>
      </w:r>
    </w:p>
    <w:p w:rsidR="005E4F8F" w:rsidRDefault="0016508C" w:rsidP="0016508C">
      <w:pPr>
        <w:ind w:left="-567"/>
        <w:rPr>
          <w:rFonts w:ascii="Arial" w:hAnsi="Arial" w:cs="Arial"/>
          <w:b/>
          <w:bCs/>
          <w:sz w:val="24"/>
          <w:szCs w:val="24"/>
        </w:rPr>
      </w:pPr>
      <w:r w:rsidRPr="0016508C">
        <w:rPr>
          <w:rFonts w:ascii="Arial" w:hAnsi="Arial" w:cs="Arial"/>
          <w:b/>
          <w:bCs/>
          <w:sz w:val="24"/>
          <w:szCs w:val="24"/>
        </w:rPr>
        <w:t>To be completed by the Recruiting Manager prior to the worker commencing any assignment</w:t>
      </w:r>
      <w:r>
        <w:rPr>
          <w:rFonts w:ascii="Arial" w:hAnsi="Arial" w:cs="Arial"/>
          <w:b/>
          <w:bCs/>
          <w:sz w:val="24"/>
          <w:szCs w:val="24"/>
        </w:rPr>
        <w:t xml:space="preserve">. </w:t>
      </w:r>
    </w:p>
    <w:p w:rsidR="0016508C" w:rsidRPr="0016508C" w:rsidRDefault="0016508C" w:rsidP="0016508C">
      <w:pPr>
        <w:ind w:left="-567"/>
        <w:rPr>
          <w:rFonts w:ascii="Arial" w:hAnsi="Arial" w:cs="Arial"/>
          <w:sz w:val="24"/>
          <w:szCs w:val="24"/>
        </w:rPr>
      </w:pPr>
      <w:r w:rsidRPr="0016508C">
        <w:rPr>
          <w:rFonts w:ascii="Arial" w:hAnsi="Arial" w:cs="Arial"/>
          <w:sz w:val="24"/>
          <w:szCs w:val="24"/>
        </w:rPr>
        <w:t xml:space="preserve">A copy of this form along with written confirmation from the agency that pre-employment checks have been completed and verified should be sent to </w:t>
      </w:r>
      <w:hyperlink r:id="rId20" w:history="1">
        <w:r w:rsidRPr="0016508C">
          <w:rPr>
            <w:rStyle w:val="Hyperlink"/>
            <w:rFonts w:ascii="Arial" w:hAnsi="Arial" w:cs="Arial"/>
            <w:sz w:val="24"/>
            <w:szCs w:val="24"/>
          </w:rPr>
          <w:t>employeeoperations@ncgrp.co.uk</w:t>
        </w:r>
      </w:hyperlink>
      <w:r w:rsidRPr="0016508C">
        <w:rPr>
          <w:rFonts w:ascii="Arial" w:hAnsi="Arial" w:cs="Arial"/>
          <w:sz w:val="24"/>
          <w:szCs w:val="24"/>
        </w:rPr>
        <w:t>.</w:t>
      </w:r>
    </w:p>
    <w:p w:rsidR="0016508C" w:rsidRPr="0016508C" w:rsidRDefault="0016508C" w:rsidP="0016508C">
      <w:pPr>
        <w:ind w:left="-567"/>
        <w:rPr>
          <w:rFonts w:ascii="Arial" w:hAnsi="Arial" w:cs="Arial"/>
          <w:sz w:val="24"/>
          <w:szCs w:val="24"/>
        </w:rPr>
      </w:pPr>
      <w:r w:rsidRPr="0016508C">
        <w:rPr>
          <w:rFonts w:ascii="Arial" w:hAnsi="Arial" w:cs="Arial"/>
          <w:sz w:val="24"/>
          <w:szCs w:val="24"/>
        </w:rPr>
        <w:t>This documentation will be used to monitor that pre-employment checks are carried out on agency staff in line with NCG and KCSIE standards.</w:t>
      </w:r>
    </w:p>
    <w:tbl>
      <w:tblPr>
        <w:tblStyle w:val="TableGrid"/>
        <w:tblW w:w="10632" w:type="dxa"/>
        <w:tblInd w:w="-572" w:type="dxa"/>
        <w:tblLook w:val="04A0" w:firstRow="1" w:lastRow="0" w:firstColumn="1" w:lastColumn="0" w:noHBand="0" w:noVBand="1"/>
      </w:tblPr>
      <w:tblGrid>
        <w:gridCol w:w="7655"/>
        <w:gridCol w:w="2977"/>
      </w:tblGrid>
      <w:tr w:rsidR="0016508C" w:rsidRPr="0016508C" w:rsidTr="006815F8">
        <w:tc>
          <w:tcPr>
            <w:tcW w:w="10632" w:type="dxa"/>
            <w:gridSpan w:val="2"/>
            <w:shd w:val="clear" w:color="auto" w:fill="D9D9D9" w:themeFill="background1" w:themeFillShade="D9"/>
          </w:tcPr>
          <w:p w:rsidR="0016508C" w:rsidRPr="0016508C" w:rsidRDefault="0016508C" w:rsidP="0016508C">
            <w:pPr>
              <w:jc w:val="center"/>
              <w:rPr>
                <w:rFonts w:ascii="Arial" w:hAnsi="Arial" w:cs="Arial"/>
                <w:b/>
                <w:sz w:val="24"/>
                <w:szCs w:val="24"/>
              </w:rPr>
            </w:pPr>
            <w:r w:rsidRPr="0016508C">
              <w:rPr>
                <w:rFonts w:ascii="Arial" w:hAnsi="Arial" w:cs="Arial"/>
                <w:b/>
                <w:sz w:val="24"/>
                <w:szCs w:val="24"/>
              </w:rPr>
              <w:t>Name of Approved Agency Used</w:t>
            </w:r>
          </w:p>
        </w:tc>
      </w:tr>
      <w:tr w:rsidR="0016508C" w:rsidRPr="0016508C" w:rsidTr="00912A27">
        <w:trPr>
          <w:trHeight w:val="367"/>
        </w:trPr>
        <w:tc>
          <w:tcPr>
            <w:tcW w:w="10632" w:type="dxa"/>
            <w:gridSpan w:val="2"/>
            <w:shd w:val="clear" w:color="auto" w:fill="FFFFFF" w:themeFill="background1"/>
          </w:tcPr>
          <w:p w:rsidR="0016508C" w:rsidRPr="0016508C" w:rsidRDefault="0016508C" w:rsidP="0016508C">
            <w:pPr>
              <w:rPr>
                <w:rFonts w:ascii="Arial" w:hAnsi="Arial" w:cs="Arial"/>
                <w:b/>
                <w:sz w:val="24"/>
                <w:szCs w:val="24"/>
              </w:rPr>
            </w:pPr>
          </w:p>
        </w:tc>
      </w:tr>
      <w:tr w:rsidR="0016508C" w:rsidRPr="0016508C" w:rsidTr="0016508C">
        <w:tc>
          <w:tcPr>
            <w:tcW w:w="7655" w:type="dxa"/>
            <w:shd w:val="clear" w:color="auto" w:fill="D9D9D9" w:themeFill="background1" w:themeFillShade="D9"/>
          </w:tcPr>
          <w:p w:rsidR="0016508C" w:rsidRPr="0016508C" w:rsidRDefault="0016508C" w:rsidP="0016508C">
            <w:pPr>
              <w:jc w:val="center"/>
              <w:rPr>
                <w:rFonts w:ascii="Arial" w:hAnsi="Arial" w:cs="Arial"/>
                <w:b/>
                <w:sz w:val="24"/>
                <w:szCs w:val="24"/>
              </w:rPr>
            </w:pPr>
            <w:r w:rsidRPr="0016508C">
              <w:rPr>
                <w:rFonts w:ascii="Arial" w:hAnsi="Arial" w:cs="Arial"/>
                <w:b/>
                <w:sz w:val="24"/>
                <w:szCs w:val="24"/>
              </w:rPr>
              <w:t>Pre-employment check</w:t>
            </w:r>
          </w:p>
        </w:tc>
        <w:tc>
          <w:tcPr>
            <w:tcW w:w="2977" w:type="dxa"/>
            <w:shd w:val="clear" w:color="auto" w:fill="D9D9D9" w:themeFill="background1" w:themeFillShade="D9"/>
          </w:tcPr>
          <w:p w:rsidR="0016508C" w:rsidRPr="0016508C" w:rsidRDefault="0016508C" w:rsidP="0016508C">
            <w:pPr>
              <w:jc w:val="center"/>
              <w:rPr>
                <w:rFonts w:ascii="Arial" w:hAnsi="Arial" w:cs="Arial"/>
                <w:b/>
                <w:sz w:val="24"/>
                <w:szCs w:val="24"/>
              </w:rPr>
            </w:pPr>
          </w:p>
        </w:tc>
      </w:tr>
      <w:tr w:rsidR="0016508C" w:rsidRPr="0016508C" w:rsidTr="0016508C">
        <w:trPr>
          <w:trHeight w:val="463"/>
        </w:trPr>
        <w:tc>
          <w:tcPr>
            <w:tcW w:w="7655" w:type="dxa"/>
          </w:tcPr>
          <w:p w:rsidR="0016508C" w:rsidRPr="0016508C" w:rsidRDefault="0016508C" w:rsidP="0016508C">
            <w:pPr>
              <w:rPr>
                <w:rFonts w:ascii="Arial" w:hAnsi="Arial" w:cs="Arial"/>
                <w:sz w:val="24"/>
                <w:szCs w:val="24"/>
              </w:rPr>
            </w:pPr>
            <w:r w:rsidRPr="0016508C">
              <w:rPr>
                <w:rFonts w:ascii="Arial" w:hAnsi="Arial" w:cs="Arial"/>
                <w:sz w:val="24"/>
                <w:szCs w:val="24"/>
              </w:rPr>
              <w:t xml:space="preserve">Date of engagement </w:t>
            </w:r>
          </w:p>
        </w:tc>
        <w:tc>
          <w:tcPr>
            <w:tcW w:w="2977" w:type="dxa"/>
          </w:tcPr>
          <w:p w:rsidR="0016508C" w:rsidRPr="0016508C" w:rsidRDefault="0016508C" w:rsidP="0016508C">
            <w:pPr>
              <w:rPr>
                <w:rFonts w:ascii="Arial" w:hAnsi="Arial" w:cs="Arial"/>
                <w:sz w:val="24"/>
                <w:szCs w:val="24"/>
              </w:rPr>
            </w:pPr>
          </w:p>
        </w:tc>
      </w:tr>
      <w:tr w:rsidR="0016508C" w:rsidRPr="0016508C" w:rsidTr="0016508C">
        <w:trPr>
          <w:trHeight w:val="398"/>
        </w:trPr>
        <w:tc>
          <w:tcPr>
            <w:tcW w:w="7655" w:type="dxa"/>
          </w:tcPr>
          <w:p w:rsidR="0016508C" w:rsidRPr="0016508C" w:rsidRDefault="0016508C" w:rsidP="0016508C">
            <w:pPr>
              <w:rPr>
                <w:rFonts w:ascii="Arial" w:hAnsi="Arial" w:cs="Arial"/>
                <w:sz w:val="24"/>
                <w:szCs w:val="24"/>
              </w:rPr>
            </w:pPr>
            <w:r w:rsidRPr="0016508C">
              <w:rPr>
                <w:rFonts w:ascii="Arial" w:hAnsi="Arial" w:cs="Arial"/>
                <w:sz w:val="24"/>
                <w:szCs w:val="24"/>
              </w:rPr>
              <w:t>End Date</w:t>
            </w:r>
          </w:p>
        </w:tc>
        <w:tc>
          <w:tcPr>
            <w:tcW w:w="2977" w:type="dxa"/>
          </w:tcPr>
          <w:p w:rsidR="0016508C" w:rsidRPr="0016508C" w:rsidRDefault="0016508C" w:rsidP="0016508C">
            <w:pPr>
              <w:rPr>
                <w:rFonts w:ascii="Arial" w:hAnsi="Arial" w:cs="Arial"/>
                <w:sz w:val="24"/>
                <w:szCs w:val="24"/>
              </w:rPr>
            </w:pPr>
          </w:p>
        </w:tc>
      </w:tr>
      <w:tr w:rsidR="0016508C" w:rsidRPr="0016508C" w:rsidTr="007F7DB4">
        <w:trPr>
          <w:trHeight w:val="432"/>
        </w:trPr>
        <w:tc>
          <w:tcPr>
            <w:tcW w:w="7655" w:type="dxa"/>
          </w:tcPr>
          <w:p w:rsidR="0016508C" w:rsidRPr="0016508C" w:rsidRDefault="0016508C" w:rsidP="0016508C">
            <w:pPr>
              <w:rPr>
                <w:rFonts w:ascii="Arial" w:hAnsi="Arial" w:cs="Arial"/>
                <w:sz w:val="24"/>
                <w:szCs w:val="24"/>
              </w:rPr>
            </w:pPr>
            <w:r w:rsidRPr="0016508C">
              <w:rPr>
                <w:rFonts w:ascii="Arial" w:hAnsi="Arial" w:cs="Arial"/>
                <w:sz w:val="24"/>
                <w:szCs w:val="24"/>
              </w:rPr>
              <w:t>Full Name</w:t>
            </w:r>
          </w:p>
        </w:tc>
        <w:tc>
          <w:tcPr>
            <w:tcW w:w="2977" w:type="dxa"/>
          </w:tcPr>
          <w:p w:rsidR="0016508C" w:rsidRPr="0016508C" w:rsidRDefault="0016508C" w:rsidP="0016508C">
            <w:pPr>
              <w:rPr>
                <w:rFonts w:ascii="Arial" w:hAnsi="Arial" w:cs="Arial"/>
                <w:sz w:val="24"/>
                <w:szCs w:val="24"/>
              </w:rPr>
            </w:pPr>
          </w:p>
        </w:tc>
      </w:tr>
      <w:tr w:rsidR="0016508C" w:rsidRPr="0016508C" w:rsidTr="007F7DB4">
        <w:trPr>
          <w:trHeight w:val="411"/>
        </w:trPr>
        <w:tc>
          <w:tcPr>
            <w:tcW w:w="7655" w:type="dxa"/>
          </w:tcPr>
          <w:p w:rsidR="0016508C" w:rsidRPr="0016508C" w:rsidRDefault="0016508C" w:rsidP="0016508C">
            <w:pPr>
              <w:rPr>
                <w:rFonts w:ascii="Arial" w:hAnsi="Arial" w:cs="Arial"/>
                <w:sz w:val="24"/>
                <w:szCs w:val="24"/>
              </w:rPr>
            </w:pPr>
            <w:r w:rsidRPr="0016508C">
              <w:rPr>
                <w:rFonts w:ascii="Arial" w:hAnsi="Arial" w:cs="Arial"/>
                <w:sz w:val="24"/>
                <w:szCs w:val="24"/>
              </w:rPr>
              <w:t xml:space="preserve">Date </w:t>
            </w:r>
            <w:proofErr w:type="gramStart"/>
            <w:r w:rsidRPr="0016508C">
              <w:rPr>
                <w:rFonts w:ascii="Arial" w:hAnsi="Arial" w:cs="Arial"/>
                <w:sz w:val="24"/>
                <w:szCs w:val="24"/>
              </w:rPr>
              <w:t>Of</w:t>
            </w:r>
            <w:proofErr w:type="gramEnd"/>
            <w:r w:rsidRPr="0016508C">
              <w:rPr>
                <w:rFonts w:ascii="Arial" w:hAnsi="Arial" w:cs="Arial"/>
                <w:sz w:val="24"/>
                <w:szCs w:val="24"/>
              </w:rPr>
              <w:t xml:space="preserve"> Birth</w:t>
            </w:r>
          </w:p>
        </w:tc>
        <w:tc>
          <w:tcPr>
            <w:tcW w:w="2977" w:type="dxa"/>
          </w:tcPr>
          <w:p w:rsidR="0016508C" w:rsidRPr="0016508C" w:rsidRDefault="0016508C" w:rsidP="0016508C">
            <w:pPr>
              <w:rPr>
                <w:rFonts w:ascii="Arial" w:hAnsi="Arial" w:cs="Arial"/>
                <w:sz w:val="24"/>
                <w:szCs w:val="24"/>
              </w:rPr>
            </w:pPr>
          </w:p>
        </w:tc>
      </w:tr>
      <w:tr w:rsidR="0016508C" w:rsidRPr="0016508C" w:rsidTr="00912A27">
        <w:trPr>
          <w:trHeight w:val="417"/>
        </w:trPr>
        <w:tc>
          <w:tcPr>
            <w:tcW w:w="7655" w:type="dxa"/>
          </w:tcPr>
          <w:p w:rsidR="0016508C" w:rsidRPr="0016508C" w:rsidRDefault="0016508C" w:rsidP="0016508C">
            <w:pPr>
              <w:rPr>
                <w:rFonts w:ascii="Arial" w:hAnsi="Arial" w:cs="Arial"/>
                <w:sz w:val="24"/>
                <w:szCs w:val="24"/>
              </w:rPr>
            </w:pPr>
            <w:r w:rsidRPr="0016508C">
              <w:rPr>
                <w:rFonts w:ascii="Arial" w:hAnsi="Arial" w:cs="Arial"/>
                <w:sz w:val="24"/>
                <w:szCs w:val="24"/>
              </w:rPr>
              <w:t>NI Number</w:t>
            </w:r>
          </w:p>
        </w:tc>
        <w:tc>
          <w:tcPr>
            <w:tcW w:w="2977" w:type="dxa"/>
          </w:tcPr>
          <w:p w:rsidR="0016508C" w:rsidRPr="0016508C" w:rsidRDefault="0016508C" w:rsidP="0016508C">
            <w:pPr>
              <w:rPr>
                <w:rFonts w:ascii="Arial" w:hAnsi="Arial" w:cs="Arial"/>
                <w:sz w:val="24"/>
                <w:szCs w:val="24"/>
              </w:rPr>
            </w:pPr>
          </w:p>
        </w:tc>
      </w:tr>
      <w:tr w:rsidR="0016508C" w:rsidRPr="0016508C" w:rsidTr="00912A27">
        <w:trPr>
          <w:trHeight w:val="422"/>
        </w:trPr>
        <w:tc>
          <w:tcPr>
            <w:tcW w:w="7655" w:type="dxa"/>
          </w:tcPr>
          <w:p w:rsidR="0016508C" w:rsidRPr="0016508C" w:rsidRDefault="0016508C" w:rsidP="0016508C">
            <w:pPr>
              <w:rPr>
                <w:rFonts w:ascii="Arial" w:hAnsi="Arial" w:cs="Arial"/>
                <w:sz w:val="24"/>
                <w:szCs w:val="24"/>
              </w:rPr>
            </w:pPr>
            <w:r w:rsidRPr="0016508C">
              <w:rPr>
                <w:rFonts w:ascii="Arial" w:hAnsi="Arial" w:cs="Arial"/>
                <w:sz w:val="24"/>
                <w:szCs w:val="24"/>
              </w:rPr>
              <w:t>Job Role</w:t>
            </w:r>
          </w:p>
        </w:tc>
        <w:tc>
          <w:tcPr>
            <w:tcW w:w="2977" w:type="dxa"/>
          </w:tcPr>
          <w:p w:rsidR="0016508C" w:rsidRPr="0016508C" w:rsidRDefault="0016508C" w:rsidP="0016508C">
            <w:pPr>
              <w:rPr>
                <w:rFonts w:ascii="Arial" w:hAnsi="Arial" w:cs="Arial"/>
                <w:sz w:val="24"/>
                <w:szCs w:val="24"/>
              </w:rPr>
            </w:pPr>
          </w:p>
        </w:tc>
      </w:tr>
      <w:tr w:rsidR="0016508C" w:rsidRPr="0016508C" w:rsidTr="0016508C">
        <w:trPr>
          <w:trHeight w:val="702"/>
        </w:trPr>
        <w:tc>
          <w:tcPr>
            <w:tcW w:w="7655" w:type="dxa"/>
          </w:tcPr>
          <w:p w:rsidR="0016508C" w:rsidRPr="0016508C" w:rsidRDefault="0016508C" w:rsidP="0016508C">
            <w:pPr>
              <w:rPr>
                <w:rFonts w:ascii="Arial" w:hAnsi="Arial" w:cs="Arial"/>
                <w:sz w:val="24"/>
                <w:szCs w:val="24"/>
              </w:rPr>
            </w:pPr>
            <w:r w:rsidRPr="0016508C">
              <w:rPr>
                <w:rFonts w:ascii="Arial" w:hAnsi="Arial" w:cs="Arial"/>
                <w:sz w:val="24"/>
                <w:szCs w:val="24"/>
              </w:rPr>
              <w:t>Confirmation from agency that qualification checks undertaken (including Teacher Reference Number if applicable)</w:t>
            </w:r>
          </w:p>
        </w:tc>
        <w:tc>
          <w:tcPr>
            <w:tcW w:w="2977" w:type="dxa"/>
          </w:tcPr>
          <w:p w:rsidR="0016508C" w:rsidRPr="0016508C" w:rsidRDefault="0016508C" w:rsidP="0016508C">
            <w:pPr>
              <w:rPr>
                <w:rFonts w:ascii="Arial" w:hAnsi="Arial" w:cs="Arial"/>
                <w:sz w:val="24"/>
                <w:szCs w:val="24"/>
              </w:rPr>
            </w:pPr>
          </w:p>
        </w:tc>
      </w:tr>
      <w:tr w:rsidR="0016508C" w:rsidRPr="0016508C" w:rsidTr="00912A27">
        <w:trPr>
          <w:trHeight w:val="508"/>
        </w:trPr>
        <w:tc>
          <w:tcPr>
            <w:tcW w:w="7655" w:type="dxa"/>
          </w:tcPr>
          <w:p w:rsidR="0016508C" w:rsidRPr="0016508C" w:rsidRDefault="0016508C" w:rsidP="0016508C">
            <w:pPr>
              <w:rPr>
                <w:rFonts w:ascii="Arial" w:hAnsi="Arial" w:cs="Arial"/>
                <w:sz w:val="24"/>
                <w:szCs w:val="24"/>
              </w:rPr>
            </w:pPr>
            <w:r w:rsidRPr="0016508C">
              <w:rPr>
                <w:rFonts w:ascii="Arial" w:hAnsi="Arial" w:cs="Arial"/>
                <w:sz w:val="24"/>
                <w:szCs w:val="24"/>
              </w:rPr>
              <w:t>Confirmation from agency that identity check completed</w:t>
            </w:r>
          </w:p>
        </w:tc>
        <w:tc>
          <w:tcPr>
            <w:tcW w:w="2977" w:type="dxa"/>
          </w:tcPr>
          <w:p w:rsidR="0016508C" w:rsidRPr="0016508C" w:rsidRDefault="0016508C" w:rsidP="0016508C">
            <w:pPr>
              <w:rPr>
                <w:rFonts w:ascii="Arial" w:hAnsi="Arial" w:cs="Arial"/>
                <w:sz w:val="24"/>
                <w:szCs w:val="24"/>
              </w:rPr>
            </w:pPr>
          </w:p>
        </w:tc>
      </w:tr>
      <w:tr w:rsidR="0016508C" w:rsidRPr="0016508C" w:rsidTr="00912A27">
        <w:trPr>
          <w:trHeight w:val="416"/>
        </w:trPr>
        <w:tc>
          <w:tcPr>
            <w:tcW w:w="7655" w:type="dxa"/>
          </w:tcPr>
          <w:p w:rsidR="0016508C" w:rsidRPr="0016508C" w:rsidRDefault="0016508C" w:rsidP="0016508C">
            <w:pPr>
              <w:rPr>
                <w:rFonts w:ascii="Arial" w:hAnsi="Arial" w:cs="Arial"/>
                <w:sz w:val="24"/>
                <w:szCs w:val="24"/>
              </w:rPr>
            </w:pPr>
            <w:r w:rsidRPr="0016508C">
              <w:rPr>
                <w:rFonts w:ascii="Arial" w:hAnsi="Arial" w:cs="Arial"/>
                <w:sz w:val="24"/>
                <w:szCs w:val="24"/>
              </w:rPr>
              <w:t>Confirmation from agency that right to work in UK check completed</w:t>
            </w:r>
          </w:p>
        </w:tc>
        <w:tc>
          <w:tcPr>
            <w:tcW w:w="2977" w:type="dxa"/>
          </w:tcPr>
          <w:p w:rsidR="0016508C" w:rsidRPr="0016508C" w:rsidRDefault="0016508C" w:rsidP="0016508C">
            <w:pPr>
              <w:rPr>
                <w:rFonts w:ascii="Arial" w:hAnsi="Arial" w:cs="Arial"/>
                <w:sz w:val="24"/>
                <w:szCs w:val="24"/>
              </w:rPr>
            </w:pPr>
          </w:p>
        </w:tc>
      </w:tr>
      <w:tr w:rsidR="0016508C" w:rsidRPr="0016508C" w:rsidTr="00912A27">
        <w:trPr>
          <w:trHeight w:val="409"/>
        </w:trPr>
        <w:tc>
          <w:tcPr>
            <w:tcW w:w="7655" w:type="dxa"/>
          </w:tcPr>
          <w:p w:rsidR="0016508C" w:rsidRPr="0016508C" w:rsidRDefault="0016508C" w:rsidP="0016508C">
            <w:pPr>
              <w:rPr>
                <w:rFonts w:ascii="Arial" w:hAnsi="Arial" w:cs="Arial"/>
                <w:sz w:val="24"/>
                <w:szCs w:val="24"/>
              </w:rPr>
            </w:pPr>
            <w:r w:rsidRPr="0016508C">
              <w:rPr>
                <w:rFonts w:ascii="Arial" w:hAnsi="Arial" w:cs="Arial"/>
                <w:sz w:val="24"/>
                <w:szCs w:val="24"/>
              </w:rPr>
              <w:t>Confirmation from agency that satisfactory references received</w:t>
            </w:r>
          </w:p>
        </w:tc>
        <w:tc>
          <w:tcPr>
            <w:tcW w:w="2977" w:type="dxa"/>
          </w:tcPr>
          <w:p w:rsidR="0016508C" w:rsidRPr="0016508C" w:rsidRDefault="0016508C" w:rsidP="0016508C">
            <w:pPr>
              <w:rPr>
                <w:rFonts w:ascii="Arial" w:hAnsi="Arial" w:cs="Arial"/>
                <w:sz w:val="24"/>
                <w:szCs w:val="24"/>
              </w:rPr>
            </w:pPr>
          </w:p>
        </w:tc>
      </w:tr>
      <w:tr w:rsidR="0016508C" w:rsidRPr="0016508C" w:rsidTr="00912A27">
        <w:trPr>
          <w:trHeight w:val="415"/>
        </w:trPr>
        <w:tc>
          <w:tcPr>
            <w:tcW w:w="7655" w:type="dxa"/>
          </w:tcPr>
          <w:p w:rsidR="0016508C" w:rsidRPr="0016508C" w:rsidRDefault="0016508C" w:rsidP="0016508C">
            <w:pPr>
              <w:rPr>
                <w:rFonts w:ascii="Arial" w:hAnsi="Arial" w:cs="Arial"/>
                <w:sz w:val="24"/>
                <w:szCs w:val="24"/>
              </w:rPr>
            </w:pPr>
            <w:r w:rsidRPr="0016508C">
              <w:rPr>
                <w:rFonts w:ascii="Arial" w:hAnsi="Arial" w:cs="Arial"/>
                <w:sz w:val="24"/>
                <w:szCs w:val="24"/>
              </w:rPr>
              <w:t xml:space="preserve">Confirmation from agency that employment history </w:t>
            </w:r>
            <w:proofErr w:type="gramStart"/>
            <w:r w:rsidRPr="0016508C">
              <w:rPr>
                <w:rFonts w:ascii="Arial" w:hAnsi="Arial" w:cs="Arial"/>
                <w:sz w:val="24"/>
                <w:szCs w:val="24"/>
              </w:rPr>
              <w:t>check</w:t>
            </w:r>
            <w:proofErr w:type="gramEnd"/>
            <w:r w:rsidRPr="0016508C">
              <w:rPr>
                <w:rFonts w:ascii="Arial" w:hAnsi="Arial" w:cs="Arial"/>
                <w:sz w:val="24"/>
                <w:szCs w:val="24"/>
              </w:rPr>
              <w:t xml:space="preserve"> undertaken</w:t>
            </w:r>
          </w:p>
        </w:tc>
        <w:tc>
          <w:tcPr>
            <w:tcW w:w="2977" w:type="dxa"/>
          </w:tcPr>
          <w:p w:rsidR="0016508C" w:rsidRPr="0016508C" w:rsidRDefault="0016508C" w:rsidP="0016508C">
            <w:pPr>
              <w:rPr>
                <w:rFonts w:ascii="Arial" w:hAnsi="Arial" w:cs="Arial"/>
                <w:sz w:val="24"/>
                <w:szCs w:val="24"/>
              </w:rPr>
            </w:pPr>
          </w:p>
        </w:tc>
      </w:tr>
      <w:tr w:rsidR="0016508C" w:rsidRPr="0016508C" w:rsidTr="00912A27">
        <w:trPr>
          <w:trHeight w:val="420"/>
        </w:trPr>
        <w:tc>
          <w:tcPr>
            <w:tcW w:w="7655" w:type="dxa"/>
          </w:tcPr>
          <w:p w:rsidR="0016508C" w:rsidRPr="0016508C" w:rsidRDefault="0016508C" w:rsidP="00912A27">
            <w:pPr>
              <w:rPr>
                <w:rFonts w:ascii="Arial" w:hAnsi="Arial" w:cs="Arial"/>
                <w:sz w:val="24"/>
                <w:szCs w:val="24"/>
              </w:rPr>
            </w:pPr>
            <w:r w:rsidRPr="0016508C">
              <w:rPr>
                <w:rFonts w:ascii="Arial" w:hAnsi="Arial" w:cs="Arial"/>
                <w:sz w:val="24"/>
                <w:szCs w:val="24"/>
              </w:rPr>
              <w:t>Confirmation that enhanced DBS Disclosure obtained</w:t>
            </w:r>
          </w:p>
        </w:tc>
        <w:tc>
          <w:tcPr>
            <w:tcW w:w="2977" w:type="dxa"/>
          </w:tcPr>
          <w:p w:rsidR="0016508C" w:rsidRPr="0016508C" w:rsidRDefault="0016508C" w:rsidP="0016508C">
            <w:pPr>
              <w:rPr>
                <w:rFonts w:ascii="Arial" w:hAnsi="Arial" w:cs="Arial"/>
                <w:sz w:val="24"/>
                <w:szCs w:val="24"/>
              </w:rPr>
            </w:pPr>
          </w:p>
        </w:tc>
      </w:tr>
      <w:tr w:rsidR="0016508C" w:rsidRPr="0016508C" w:rsidTr="00912A27">
        <w:trPr>
          <w:trHeight w:val="412"/>
        </w:trPr>
        <w:tc>
          <w:tcPr>
            <w:tcW w:w="7655" w:type="dxa"/>
          </w:tcPr>
          <w:p w:rsidR="0016508C" w:rsidRPr="0016508C" w:rsidRDefault="0016508C" w:rsidP="00912A27">
            <w:pPr>
              <w:rPr>
                <w:rFonts w:ascii="Arial" w:hAnsi="Arial" w:cs="Arial"/>
                <w:sz w:val="24"/>
                <w:szCs w:val="24"/>
              </w:rPr>
            </w:pPr>
            <w:r w:rsidRPr="0016508C">
              <w:rPr>
                <w:rFonts w:ascii="Arial" w:hAnsi="Arial" w:cs="Arial"/>
                <w:sz w:val="24"/>
                <w:szCs w:val="24"/>
              </w:rPr>
              <w:t>Confirmation that barred list check obtained (If applicable)</w:t>
            </w:r>
          </w:p>
        </w:tc>
        <w:tc>
          <w:tcPr>
            <w:tcW w:w="2977" w:type="dxa"/>
          </w:tcPr>
          <w:p w:rsidR="0016508C" w:rsidRPr="0016508C" w:rsidRDefault="0016508C" w:rsidP="0016508C">
            <w:pPr>
              <w:rPr>
                <w:rFonts w:ascii="Arial" w:hAnsi="Arial" w:cs="Arial"/>
                <w:sz w:val="24"/>
                <w:szCs w:val="24"/>
              </w:rPr>
            </w:pPr>
          </w:p>
        </w:tc>
      </w:tr>
      <w:tr w:rsidR="0016508C" w:rsidRPr="0016508C" w:rsidTr="00912A27">
        <w:trPr>
          <w:trHeight w:val="419"/>
        </w:trPr>
        <w:tc>
          <w:tcPr>
            <w:tcW w:w="7655" w:type="dxa"/>
          </w:tcPr>
          <w:p w:rsidR="0016508C" w:rsidRPr="0016508C" w:rsidRDefault="0016508C" w:rsidP="00912A27">
            <w:pPr>
              <w:rPr>
                <w:rFonts w:ascii="Arial" w:hAnsi="Arial" w:cs="Arial"/>
                <w:sz w:val="24"/>
                <w:szCs w:val="24"/>
              </w:rPr>
            </w:pPr>
            <w:r w:rsidRPr="0016508C">
              <w:rPr>
                <w:rFonts w:ascii="Arial" w:hAnsi="Arial" w:cs="Arial"/>
                <w:sz w:val="24"/>
                <w:szCs w:val="24"/>
              </w:rPr>
              <w:t>Date of DBS Disclosure</w:t>
            </w:r>
          </w:p>
        </w:tc>
        <w:tc>
          <w:tcPr>
            <w:tcW w:w="2977" w:type="dxa"/>
          </w:tcPr>
          <w:p w:rsidR="0016508C" w:rsidRPr="0016508C" w:rsidRDefault="0016508C" w:rsidP="0016508C">
            <w:pPr>
              <w:rPr>
                <w:rFonts w:ascii="Arial" w:hAnsi="Arial" w:cs="Arial"/>
                <w:sz w:val="24"/>
                <w:szCs w:val="24"/>
              </w:rPr>
            </w:pPr>
          </w:p>
        </w:tc>
      </w:tr>
      <w:tr w:rsidR="0016508C" w:rsidRPr="0016508C" w:rsidTr="00912A27">
        <w:trPr>
          <w:trHeight w:val="411"/>
        </w:trPr>
        <w:tc>
          <w:tcPr>
            <w:tcW w:w="7655" w:type="dxa"/>
          </w:tcPr>
          <w:p w:rsidR="0016508C" w:rsidRPr="0016508C" w:rsidRDefault="0016508C" w:rsidP="00912A27">
            <w:pPr>
              <w:rPr>
                <w:rFonts w:ascii="Arial" w:hAnsi="Arial" w:cs="Arial"/>
                <w:sz w:val="24"/>
                <w:szCs w:val="24"/>
              </w:rPr>
            </w:pPr>
            <w:r w:rsidRPr="0016508C">
              <w:rPr>
                <w:rFonts w:ascii="Arial" w:hAnsi="Arial" w:cs="Arial"/>
                <w:sz w:val="24"/>
                <w:szCs w:val="24"/>
              </w:rPr>
              <w:t>Disclosure Number</w:t>
            </w:r>
          </w:p>
        </w:tc>
        <w:tc>
          <w:tcPr>
            <w:tcW w:w="2977" w:type="dxa"/>
          </w:tcPr>
          <w:p w:rsidR="0016508C" w:rsidRPr="0016508C" w:rsidRDefault="0016508C" w:rsidP="0016508C">
            <w:pPr>
              <w:rPr>
                <w:rFonts w:ascii="Arial" w:hAnsi="Arial" w:cs="Arial"/>
                <w:sz w:val="24"/>
                <w:szCs w:val="24"/>
              </w:rPr>
            </w:pPr>
          </w:p>
        </w:tc>
      </w:tr>
      <w:tr w:rsidR="0016508C" w:rsidRPr="0016508C" w:rsidTr="00912A27">
        <w:trPr>
          <w:trHeight w:val="416"/>
        </w:trPr>
        <w:tc>
          <w:tcPr>
            <w:tcW w:w="7655" w:type="dxa"/>
          </w:tcPr>
          <w:p w:rsidR="0016508C" w:rsidRPr="0016508C" w:rsidRDefault="0016508C" w:rsidP="00912A27">
            <w:pPr>
              <w:rPr>
                <w:rFonts w:ascii="Arial" w:hAnsi="Arial" w:cs="Arial"/>
                <w:sz w:val="24"/>
                <w:szCs w:val="24"/>
              </w:rPr>
            </w:pPr>
            <w:r w:rsidRPr="0016508C">
              <w:rPr>
                <w:rFonts w:ascii="Arial" w:hAnsi="Arial" w:cs="Arial"/>
                <w:sz w:val="24"/>
                <w:szCs w:val="24"/>
              </w:rPr>
              <w:t>Recruiting Manager</w:t>
            </w:r>
          </w:p>
        </w:tc>
        <w:tc>
          <w:tcPr>
            <w:tcW w:w="2977" w:type="dxa"/>
          </w:tcPr>
          <w:p w:rsidR="0016508C" w:rsidRPr="0016508C" w:rsidRDefault="0016508C" w:rsidP="0016508C">
            <w:pPr>
              <w:rPr>
                <w:rFonts w:ascii="Arial" w:hAnsi="Arial" w:cs="Arial"/>
                <w:sz w:val="24"/>
                <w:szCs w:val="24"/>
              </w:rPr>
            </w:pPr>
          </w:p>
        </w:tc>
      </w:tr>
      <w:tr w:rsidR="0016508C" w:rsidRPr="0016508C" w:rsidTr="00912A27">
        <w:trPr>
          <w:trHeight w:val="416"/>
        </w:trPr>
        <w:tc>
          <w:tcPr>
            <w:tcW w:w="7655" w:type="dxa"/>
          </w:tcPr>
          <w:p w:rsidR="0016508C" w:rsidRPr="0016508C" w:rsidRDefault="0016508C" w:rsidP="00912A27">
            <w:pPr>
              <w:rPr>
                <w:rFonts w:ascii="Arial" w:hAnsi="Arial" w:cs="Arial"/>
                <w:sz w:val="24"/>
                <w:szCs w:val="24"/>
              </w:rPr>
            </w:pPr>
            <w:r w:rsidRPr="0016508C">
              <w:rPr>
                <w:rFonts w:ascii="Arial" w:hAnsi="Arial" w:cs="Arial"/>
                <w:sz w:val="24"/>
                <w:szCs w:val="24"/>
              </w:rPr>
              <w:t>College</w:t>
            </w:r>
          </w:p>
        </w:tc>
        <w:tc>
          <w:tcPr>
            <w:tcW w:w="2977" w:type="dxa"/>
          </w:tcPr>
          <w:p w:rsidR="0016508C" w:rsidRPr="0016508C" w:rsidRDefault="0016508C" w:rsidP="0016508C">
            <w:pPr>
              <w:rPr>
                <w:rFonts w:ascii="Arial" w:hAnsi="Arial" w:cs="Arial"/>
                <w:sz w:val="24"/>
                <w:szCs w:val="24"/>
              </w:rPr>
            </w:pPr>
          </w:p>
        </w:tc>
      </w:tr>
    </w:tbl>
    <w:p w:rsidR="00912A27" w:rsidRDefault="00912A27" w:rsidP="0016508C">
      <w:pPr>
        <w:jc w:val="center"/>
        <w:rPr>
          <w:rFonts w:ascii="Arial" w:hAnsi="Arial" w:cs="Arial"/>
          <w:b/>
          <w:i/>
          <w:sz w:val="24"/>
          <w:szCs w:val="24"/>
        </w:rPr>
      </w:pPr>
    </w:p>
    <w:p w:rsidR="00D80E43" w:rsidRDefault="0016508C" w:rsidP="0016508C">
      <w:pPr>
        <w:jc w:val="center"/>
        <w:rPr>
          <w:rFonts w:ascii="Arial" w:hAnsi="Arial" w:cs="Arial"/>
          <w:b/>
          <w:i/>
          <w:sz w:val="24"/>
          <w:szCs w:val="24"/>
        </w:rPr>
      </w:pPr>
      <w:r w:rsidRPr="0016508C">
        <w:rPr>
          <w:rFonts w:ascii="Arial" w:hAnsi="Arial" w:cs="Arial"/>
          <w:b/>
          <w:i/>
          <w:sz w:val="24"/>
          <w:szCs w:val="24"/>
        </w:rPr>
        <w:t>All agency workers must present ID verification on their first day</w:t>
      </w:r>
      <w:r w:rsidR="00D80E43">
        <w:rPr>
          <w:rFonts w:ascii="Arial" w:hAnsi="Arial" w:cs="Arial"/>
          <w:b/>
          <w:i/>
          <w:sz w:val="24"/>
          <w:szCs w:val="24"/>
        </w:rPr>
        <w:br w:type="page"/>
      </w:r>
    </w:p>
    <w:p w:rsidR="00D80E43" w:rsidRPr="00EE3749" w:rsidRDefault="00D80E43" w:rsidP="00D80E43">
      <w:pPr>
        <w:spacing w:after="0" w:line="240" w:lineRule="auto"/>
        <w:rPr>
          <w:rFonts w:ascii="Arial" w:hAnsi="Arial" w:cs="Arial"/>
          <w:b/>
          <w:sz w:val="24"/>
          <w:szCs w:val="24"/>
        </w:rPr>
      </w:pPr>
      <w:r w:rsidRPr="00D80E43">
        <w:rPr>
          <w:rFonts w:ascii="Arial" w:hAnsi="Arial" w:cs="Arial"/>
          <w:b/>
          <w:sz w:val="24"/>
          <w:szCs w:val="24"/>
        </w:rPr>
        <w:t xml:space="preserve">Appendix 2: </w:t>
      </w:r>
      <w:r w:rsidRPr="00EE3749">
        <w:rPr>
          <w:rFonts w:ascii="Arial" w:hAnsi="Arial" w:cs="Arial"/>
          <w:b/>
          <w:sz w:val="24"/>
          <w:szCs w:val="24"/>
        </w:rPr>
        <w:t>DBS Status Declaration Form</w:t>
      </w:r>
    </w:p>
    <w:p w:rsidR="00D80E43" w:rsidRDefault="00D80E43" w:rsidP="00D80E43">
      <w:pPr>
        <w:spacing w:after="0" w:line="240" w:lineRule="auto"/>
        <w:rPr>
          <w:rFonts w:ascii="Arial" w:hAnsi="Arial" w:cs="Arial"/>
          <w:sz w:val="24"/>
          <w:szCs w:val="24"/>
        </w:rPr>
      </w:pPr>
    </w:p>
    <w:p w:rsidR="00D80E43" w:rsidRDefault="00D80E43" w:rsidP="00D80E43">
      <w:pPr>
        <w:spacing w:after="0" w:line="240" w:lineRule="auto"/>
        <w:rPr>
          <w:rFonts w:ascii="Arial" w:hAnsi="Arial" w:cs="Arial"/>
          <w:sz w:val="24"/>
          <w:szCs w:val="24"/>
        </w:rPr>
      </w:pPr>
      <w:r w:rsidRPr="00D80E43">
        <w:rPr>
          <w:rFonts w:ascii="Arial" w:hAnsi="Arial" w:cs="Arial"/>
          <w:sz w:val="24"/>
          <w:szCs w:val="24"/>
        </w:rPr>
        <w:t>Section 1: Colleague Details</w:t>
      </w:r>
    </w:p>
    <w:p w:rsidR="005E4F8F" w:rsidRPr="00D80E43" w:rsidRDefault="005E4F8F" w:rsidP="00D80E43">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2972"/>
        <w:gridCol w:w="6044"/>
      </w:tblGrid>
      <w:tr w:rsidR="00D80E43" w:rsidRPr="00D80E43" w:rsidTr="004D5C9A">
        <w:tc>
          <w:tcPr>
            <w:tcW w:w="2972" w:type="dxa"/>
            <w:shd w:val="clear" w:color="auto" w:fill="D9D9D9" w:themeFill="background1" w:themeFillShade="D9"/>
          </w:tcPr>
          <w:p w:rsidR="00D80E43" w:rsidRPr="00D80E43" w:rsidRDefault="00D80E43" w:rsidP="00D80E43">
            <w:pPr>
              <w:rPr>
                <w:rFonts w:ascii="Arial" w:hAnsi="Arial" w:cs="Arial"/>
                <w:sz w:val="24"/>
                <w:szCs w:val="24"/>
              </w:rPr>
            </w:pPr>
            <w:r w:rsidRPr="00D80E43">
              <w:rPr>
                <w:rFonts w:ascii="Arial" w:hAnsi="Arial" w:cs="Arial"/>
                <w:sz w:val="24"/>
                <w:szCs w:val="24"/>
              </w:rPr>
              <w:t>Colleague Name</w:t>
            </w:r>
          </w:p>
          <w:p w:rsidR="00D80E43" w:rsidRPr="00D80E43" w:rsidRDefault="00D80E43" w:rsidP="00D80E43">
            <w:pPr>
              <w:rPr>
                <w:rFonts w:ascii="Arial" w:hAnsi="Arial" w:cs="Arial"/>
                <w:sz w:val="24"/>
                <w:szCs w:val="24"/>
              </w:rPr>
            </w:pPr>
          </w:p>
        </w:tc>
        <w:tc>
          <w:tcPr>
            <w:tcW w:w="6044" w:type="dxa"/>
          </w:tcPr>
          <w:p w:rsidR="00D80E43" w:rsidRPr="00D80E43" w:rsidRDefault="00D80E43" w:rsidP="00D80E43">
            <w:pPr>
              <w:rPr>
                <w:rFonts w:ascii="Arial" w:hAnsi="Arial" w:cs="Arial"/>
                <w:sz w:val="24"/>
                <w:szCs w:val="24"/>
              </w:rPr>
            </w:pPr>
          </w:p>
        </w:tc>
      </w:tr>
      <w:tr w:rsidR="00D80E43" w:rsidRPr="00D80E43" w:rsidTr="004D5C9A">
        <w:tc>
          <w:tcPr>
            <w:tcW w:w="2972" w:type="dxa"/>
            <w:shd w:val="clear" w:color="auto" w:fill="D9D9D9" w:themeFill="background1" w:themeFillShade="D9"/>
          </w:tcPr>
          <w:p w:rsidR="00D80E43" w:rsidRPr="00D80E43" w:rsidRDefault="00D80E43" w:rsidP="00D80E43">
            <w:pPr>
              <w:rPr>
                <w:rFonts w:ascii="Arial" w:hAnsi="Arial" w:cs="Arial"/>
                <w:sz w:val="24"/>
                <w:szCs w:val="24"/>
              </w:rPr>
            </w:pPr>
            <w:r w:rsidRPr="00D80E43">
              <w:rPr>
                <w:rFonts w:ascii="Arial" w:hAnsi="Arial" w:cs="Arial"/>
                <w:sz w:val="24"/>
                <w:szCs w:val="24"/>
              </w:rPr>
              <w:t>Department</w:t>
            </w:r>
          </w:p>
          <w:p w:rsidR="00D80E43" w:rsidRPr="00D80E43" w:rsidRDefault="00D80E43" w:rsidP="00D80E43">
            <w:pPr>
              <w:rPr>
                <w:rFonts w:ascii="Arial" w:hAnsi="Arial" w:cs="Arial"/>
                <w:sz w:val="24"/>
                <w:szCs w:val="24"/>
              </w:rPr>
            </w:pPr>
          </w:p>
        </w:tc>
        <w:tc>
          <w:tcPr>
            <w:tcW w:w="6044" w:type="dxa"/>
          </w:tcPr>
          <w:p w:rsidR="00D80E43" w:rsidRPr="00D80E43" w:rsidRDefault="00D80E43" w:rsidP="00D80E43">
            <w:pPr>
              <w:rPr>
                <w:rFonts w:ascii="Arial" w:hAnsi="Arial" w:cs="Arial"/>
                <w:sz w:val="24"/>
                <w:szCs w:val="24"/>
              </w:rPr>
            </w:pPr>
          </w:p>
        </w:tc>
      </w:tr>
      <w:tr w:rsidR="00D80E43" w:rsidRPr="00D80E43" w:rsidTr="004D5C9A">
        <w:tc>
          <w:tcPr>
            <w:tcW w:w="2972" w:type="dxa"/>
            <w:shd w:val="clear" w:color="auto" w:fill="D9D9D9" w:themeFill="background1" w:themeFillShade="D9"/>
          </w:tcPr>
          <w:p w:rsidR="00D80E43" w:rsidRPr="00D80E43" w:rsidRDefault="00D80E43" w:rsidP="00D80E43">
            <w:pPr>
              <w:rPr>
                <w:rFonts w:ascii="Arial" w:hAnsi="Arial" w:cs="Arial"/>
                <w:sz w:val="24"/>
                <w:szCs w:val="24"/>
              </w:rPr>
            </w:pPr>
            <w:r w:rsidRPr="00D80E43">
              <w:rPr>
                <w:rFonts w:ascii="Arial" w:hAnsi="Arial" w:cs="Arial"/>
                <w:sz w:val="24"/>
                <w:szCs w:val="24"/>
              </w:rPr>
              <w:t>Line Manager</w:t>
            </w:r>
          </w:p>
          <w:p w:rsidR="00D80E43" w:rsidRPr="00D80E43" w:rsidRDefault="00D80E43" w:rsidP="00D80E43">
            <w:pPr>
              <w:rPr>
                <w:rFonts w:ascii="Arial" w:hAnsi="Arial" w:cs="Arial"/>
                <w:sz w:val="24"/>
                <w:szCs w:val="24"/>
              </w:rPr>
            </w:pPr>
          </w:p>
        </w:tc>
        <w:tc>
          <w:tcPr>
            <w:tcW w:w="6044" w:type="dxa"/>
          </w:tcPr>
          <w:p w:rsidR="00D80E43" w:rsidRPr="00D80E43" w:rsidRDefault="00D80E43" w:rsidP="00D80E43">
            <w:pPr>
              <w:rPr>
                <w:rFonts w:ascii="Arial" w:hAnsi="Arial" w:cs="Arial"/>
                <w:sz w:val="24"/>
                <w:szCs w:val="24"/>
              </w:rPr>
            </w:pPr>
          </w:p>
        </w:tc>
      </w:tr>
      <w:tr w:rsidR="00D80E43" w:rsidRPr="00D80E43" w:rsidTr="004D5C9A">
        <w:tc>
          <w:tcPr>
            <w:tcW w:w="2972" w:type="dxa"/>
            <w:shd w:val="clear" w:color="auto" w:fill="D9D9D9" w:themeFill="background1" w:themeFillShade="D9"/>
          </w:tcPr>
          <w:p w:rsidR="00D80E43" w:rsidRPr="00D80E43" w:rsidRDefault="00D80E43" w:rsidP="00D80E43">
            <w:pPr>
              <w:rPr>
                <w:rFonts w:ascii="Arial" w:hAnsi="Arial" w:cs="Arial"/>
                <w:sz w:val="24"/>
                <w:szCs w:val="24"/>
              </w:rPr>
            </w:pPr>
            <w:r w:rsidRPr="00D80E43">
              <w:rPr>
                <w:rFonts w:ascii="Arial" w:hAnsi="Arial" w:cs="Arial"/>
                <w:sz w:val="24"/>
                <w:szCs w:val="24"/>
              </w:rPr>
              <w:t>College</w:t>
            </w:r>
          </w:p>
          <w:p w:rsidR="00D80E43" w:rsidRPr="00D80E43" w:rsidRDefault="00D80E43" w:rsidP="00D80E43">
            <w:pPr>
              <w:rPr>
                <w:rFonts w:ascii="Arial" w:hAnsi="Arial" w:cs="Arial"/>
                <w:sz w:val="24"/>
                <w:szCs w:val="24"/>
              </w:rPr>
            </w:pPr>
          </w:p>
        </w:tc>
        <w:tc>
          <w:tcPr>
            <w:tcW w:w="6044" w:type="dxa"/>
          </w:tcPr>
          <w:p w:rsidR="00D80E43" w:rsidRPr="00D80E43" w:rsidRDefault="00D80E43" w:rsidP="00D80E43">
            <w:pPr>
              <w:rPr>
                <w:rFonts w:ascii="Arial" w:hAnsi="Arial" w:cs="Arial"/>
                <w:sz w:val="24"/>
                <w:szCs w:val="24"/>
              </w:rPr>
            </w:pPr>
          </w:p>
        </w:tc>
      </w:tr>
    </w:tbl>
    <w:p w:rsidR="00D80E43" w:rsidRPr="00D80E43" w:rsidRDefault="00D80E43" w:rsidP="00D80E43">
      <w:pPr>
        <w:spacing w:after="0" w:line="240" w:lineRule="auto"/>
        <w:rPr>
          <w:rFonts w:ascii="Arial" w:hAnsi="Arial" w:cs="Arial"/>
          <w:sz w:val="24"/>
          <w:szCs w:val="24"/>
        </w:rPr>
      </w:pPr>
    </w:p>
    <w:p w:rsidR="00D80E43" w:rsidRDefault="00D80E43" w:rsidP="00D80E43">
      <w:pPr>
        <w:spacing w:after="0" w:line="240" w:lineRule="auto"/>
        <w:rPr>
          <w:rFonts w:ascii="Arial" w:hAnsi="Arial" w:cs="Arial"/>
          <w:sz w:val="24"/>
          <w:szCs w:val="24"/>
        </w:rPr>
      </w:pPr>
      <w:r w:rsidRPr="00D80E43">
        <w:rPr>
          <w:rFonts w:ascii="Arial" w:hAnsi="Arial" w:cs="Arial"/>
          <w:sz w:val="24"/>
          <w:szCs w:val="24"/>
        </w:rPr>
        <w:t>Section 2: Current / Most recent DBS information</w:t>
      </w:r>
    </w:p>
    <w:p w:rsidR="005E4F8F" w:rsidRPr="00D80E43" w:rsidRDefault="005E4F8F" w:rsidP="00D80E43">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2972"/>
        <w:gridCol w:w="6044"/>
      </w:tblGrid>
      <w:tr w:rsidR="00D80E43" w:rsidRPr="00D80E43" w:rsidTr="004D5C9A">
        <w:tc>
          <w:tcPr>
            <w:tcW w:w="2972" w:type="dxa"/>
            <w:shd w:val="clear" w:color="auto" w:fill="D9D9D9" w:themeFill="background1" w:themeFillShade="D9"/>
          </w:tcPr>
          <w:p w:rsidR="00D80E43" w:rsidRDefault="00D80E43" w:rsidP="00D80E43">
            <w:pPr>
              <w:rPr>
                <w:rFonts w:ascii="Arial" w:hAnsi="Arial" w:cs="Arial"/>
                <w:sz w:val="24"/>
                <w:szCs w:val="24"/>
              </w:rPr>
            </w:pPr>
            <w:r w:rsidRPr="00D80E43">
              <w:rPr>
                <w:rFonts w:ascii="Arial" w:hAnsi="Arial" w:cs="Arial"/>
                <w:sz w:val="24"/>
                <w:szCs w:val="24"/>
              </w:rPr>
              <w:t>DBS Certificate Number</w:t>
            </w:r>
          </w:p>
          <w:p w:rsidR="00D80E43" w:rsidRPr="00D80E43" w:rsidRDefault="00D80E43" w:rsidP="00D80E43">
            <w:pPr>
              <w:rPr>
                <w:rFonts w:ascii="Arial" w:hAnsi="Arial" w:cs="Arial"/>
                <w:sz w:val="24"/>
                <w:szCs w:val="24"/>
              </w:rPr>
            </w:pPr>
          </w:p>
        </w:tc>
        <w:tc>
          <w:tcPr>
            <w:tcW w:w="6044" w:type="dxa"/>
          </w:tcPr>
          <w:p w:rsidR="00D80E43" w:rsidRPr="00D80E43" w:rsidRDefault="00D80E43" w:rsidP="00D80E43">
            <w:pPr>
              <w:rPr>
                <w:rFonts w:ascii="Arial" w:hAnsi="Arial" w:cs="Arial"/>
                <w:sz w:val="24"/>
                <w:szCs w:val="24"/>
              </w:rPr>
            </w:pPr>
          </w:p>
        </w:tc>
      </w:tr>
      <w:tr w:rsidR="00D80E43" w:rsidRPr="00D80E43" w:rsidTr="004D5C9A">
        <w:tc>
          <w:tcPr>
            <w:tcW w:w="2972" w:type="dxa"/>
            <w:shd w:val="clear" w:color="auto" w:fill="D9D9D9" w:themeFill="background1" w:themeFillShade="D9"/>
          </w:tcPr>
          <w:p w:rsidR="00D80E43" w:rsidRDefault="00D80E43" w:rsidP="00D80E43">
            <w:pPr>
              <w:rPr>
                <w:rFonts w:ascii="Arial" w:hAnsi="Arial" w:cs="Arial"/>
                <w:sz w:val="24"/>
                <w:szCs w:val="24"/>
              </w:rPr>
            </w:pPr>
            <w:r w:rsidRPr="00D80E43">
              <w:rPr>
                <w:rFonts w:ascii="Arial" w:hAnsi="Arial" w:cs="Arial"/>
                <w:sz w:val="24"/>
                <w:szCs w:val="24"/>
              </w:rPr>
              <w:t>DBS Date</w:t>
            </w:r>
          </w:p>
          <w:p w:rsidR="00D80E43" w:rsidRPr="00D80E43" w:rsidRDefault="00D80E43" w:rsidP="00D80E43">
            <w:pPr>
              <w:rPr>
                <w:rFonts w:ascii="Arial" w:hAnsi="Arial" w:cs="Arial"/>
                <w:sz w:val="24"/>
                <w:szCs w:val="24"/>
              </w:rPr>
            </w:pPr>
          </w:p>
        </w:tc>
        <w:tc>
          <w:tcPr>
            <w:tcW w:w="6044" w:type="dxa"/>
          </w:tcPr>
          <w:p w:rsidR="00D80E43" w:rsidRPr="00D80E43" w:rsidRDefault="00D80E43" w:rsidP="00D80E43">
            <w:pPr>
              <w:rPr>
                <w:rFonts w:ascii="Arial" w:hAnsi="Arial" w:cs="Arial"/>
                <w:sz w:val="24"/>
                <w:szCs w:val="24"/>
              </w:rPr>
            </w:pPr>
          </w:p>
        </w:tc>
      </w:tr>
      <w:tr w:rsidR="00D80E43" w:rsidRPr="00D80E43" w:rsidTr="004D5C9A">
        <w:tc>
          <w:tcPr>
            <w:tcW w:w="2972" w:type="dxa"/>
            <w:shd w:val="clear" w:color="auto" w:fill="D9D9D9" w:themeFill="background1" w:themeFillShade="D9"/>
          </w:tcPr>
          <w:p w:rsidR="00D80E43" w:rsidRDefault="00D80E43" w:rsidP="00D80E43">
            <w:pPr>
              <w:rPr>
                <w:rFonts w:ascii="Arial" w:hAnsi="Arial" w:cs="Arial"/>
                <w:sz w:val="24"/>
                <w:szCs w:val="24"/>
              </w:rPr>
            </w:pPr>
            <w:r w:rsidRPr="00D80E43">
              <w:rPr>
                <w:rFonts w:ascii="Arial" w:hAnsi="Arial" w:cs="Arial"/>
                <w:sz w:val="24"/>
                <w:szCs w:val="24"/>
              </w:rPr>
              <w:t>Undertaken by</w:t>
            </w:r>
          </w:p>
          <w:p w:rsidR="00D80E43" w:rsidRPr="00D80E43" w:rsidRDefault="00D80E43" w:rsidP="00D80E43">
            <w:pPr>
              <w:rPr>
                <w:rFonts w:ascii="Arial" w:hAnsi="Arial" w:cs="Arial"/>
                <w:sz w:val="24"/>
                <w:szCs w:val="24"/>
              </w:rPr>
            </w:pPr>
          </w:p>
        </w:tc>
        <w:tc>
          <w:tcPr>
            <w:tcW w:w="6044" w:type="dxa"/>
          </w:tcPr>
          <w:p w:rsidR="00D80E43" w:rsidRPr="00D80E43" w:rsidRDefault="00D80E43" w:rsidP="00D80E43">
            <w:pPr>
              <w:rPr>
                <w:rFonts w:ascii="Arial" w:hAnsi="Arial" w:cs="Arial"/>
                <w:sz w:val="24"/>
                <w:szCs w:val="24"/>
              </w:rPr>
            </w:pPr>
          </w:p>
        </w:tc>
      </w:tr>
    </w:tbl>
    <w:p w:rsidR="00D80E43" w:rsidRPr="00D80E43" w:rsidRDefault="00D80E43" w:rsidP="00D80E43">
      <w:pPr>
        <w:spacing w:after="0" w:line="240" w:lineRule="auto"/>
        <w:rPr>
          <w:rFonts w:ascii="Arial" w:hAnsi="Arial" w:cs="Arial"/>
          <w:sz w:val="24"/>
          <w:szCs w:val="24"/>
        </w:rPr>
      </w:pPr>
    </w:p>
    <w:p w:rsidR="00D80E43" w:rsidRDefault="00D80E43" w:rsidP="00D80E43">
      <w:pPr>
        <w:spacing w:after="0" w:line="240" w:lineRule="auto"/>
        <w:rPr>
          <w:rFonts w:ascii="Arial" w:hAnsi="Arial" w:cs="Arial"/>
          <w:sz w:val="24"/>
          <w:szCs w:val="24"/>
        </w:rPr>
      </w:pPr>
      <w:r w:rsidRPr="00D80E43">
        <w:rPr>
          <w:rFonts w:ascii="Arial" w:hAnsi="Arial" w:cs="Arial"/>
          <w:sz w:val="24"/>
          <w:szCs w:val="24"/>
        </w:rPr>
        <w:t>Section 3: Declaration</w:t>
      </w:r>
    </w:p>
    <w:p w:rsidR="00D80E43" w:rsidRPr="00D80E43" w:rsidRDefault="00D80E43" w:rsidP="00D80E43">
      <w:pPr>
        <w:spacing w:after="0" w:line="240" w:lineRule="auto"/>
        <w:rPr>
          <w:rFonts w:ascii="Arial" w:hAnsi="Arial" w:cs="Arial"/>
          <w:sz w:val="24"/>
          <w:szCs w:val="24"/>
        </w:rPr>
      </w:pPr>
    </w:p>
    <w:p w:rsidR="00D80E43" w:rsidRPr="00D80E43" w:rsidRDefault="00D80E43" w:rsidP="00D80E43">
      <w:pPr>
        <w:spacing w:after="0" w:line="240" w:lineRule="auto"/>
        <w:rPr>
          <w:rFonts w:ascii="Arial" w:hAnsi="Arial" w:cs="Arial"/>
          <w:sz w:val="24"/>
          <w:szCs w:val="24"/>
        </w:rPr>
      </w:pPr>
      <w:r w:rsidRPr="00D80E43">
        <w:rPr>
          <w:rFonts w:ascii="Arial" w:hAnsi="Arial" w:cs="Arial"/>
          <w:sz w:val="24"/>
          <w:szCs w:val="24"/>
        </w:rPr>
        <w:t>I can confirm there have been no changes to my DBS since it was last completed (please tick appropriate response)</w:t>
      </w:r>
    </w:p>
    <w:p w:rsidR="00D80E43" w:rsidRDefault="00D80E43" w:rsidP="00D80E43">
      <w:pPr>
        <w:spacing w:after="0" w:line="240" w:lineRule="auto"/>
        <w:rPr>
          <w:rFonts w:ascii="Arial" w:hAnsi="Arial" w:cs="Arial"/>
          <w:sz w:val="24"/>
          <w:szCs w:val="24"/>
        </w:rPr>
      </w:pPr>
    </w:p>
    <w:p w:rsidR="00D80E43" w:rsidRPr="00D80E43" w:rsidRDefault="00D80E43" w:rsidP="00D80E43">
      <w:pPr>
        <w:spacing w:after="0" w:line="240" w:lineRule="auto"/>
        <w:rPr>
          <w:rFonts w:ascii="Arial" w:hAnsi="Arial" w:cs="Arial"/>
          <w:sz w:val="24"/>
          <w:szCs w:val="24"/>
        </w:rPr>
      </w:pPr>
      <w:r w:rsidRPr="00D80E43">
        <w:rPr>
          <w:rFonts w:ascii="Arial" w:hAnsi="Arial" w:cs="Arial"/>
          <w:sz w:val="24"/>
          <w:szCs w:val="24"/>
        </w:rPr>
        <w:t xml:space="preserve">Yes </w:t>
      </w:r>
      <w:sdt>
        <w:sdtPr>
          <w:rPr>
            <w:rFonts w:ascii="Arial" w:hAnsi="Arial" w:cs="Arial"/>
            <w:sz w:val="24"/>
            <w:szCs w:val="24"/>
          </w:rPr>
          <w:id w:val="-1311165589"/>
          <w14:checkbox>
            <w14:checked w14:val="0"/>
            <w14:checkedState w14:val="2612" w14:font="MS Gothic"/>
            <w14:uncheckedState w14:val="2610" w14:font="MS Gothic"/>
          </w14:checkbox>
        </w:sdtPr>
        <w:sdtEndPr/>
        <w:sdtContent>
          <w:r w:rsidRPr="00D80E43">
            <w:rPr>
              <w:rFonts w:ascii="Segoe UI Symbol" w:eastAsia="MS Gothic" w:hAnsi="Segoe UI Symbol" w:cs="Segoe UI Symbol"/>
              <w:sz w:val="24"/>
              <w:szCs w:val="24"/>
            </w:rPr>
            <w:t>☐</w:t>
          </w:r>
        </w:sdtContent>
      </w:sdt>
    </w:p>
    <w:p w:rsidR="00D80E43" w:rsidRDefault="00D80E43" w:rsidP="00D80E43">
      <w:pPr>
        <w:spacing w:after="0" w:line="240" w:lineRule="auto"/>
        <w:rPr>
          <w:rFonts w:ascii="Arial" w:hAnsi="Arial" w:cs="Arial"/>
          <w:sz w:val="24"/>
          <w:szCs w:val="24"/>
        </w:rPr>
      </w:pPr>
    </w:p>
    <w:p w:rsidR="00D80E43" w:rsidRDefault="00D80E43" w:rsidP="00D80E43">
      <w:pPr>
        <w:spacing w:after="0" w:line="240" w:lineRule="auto"/>
        <w:rPr>
          <w:rFonts w:ascii="Arial" w:hAnsi="Arial" w:cs="Arial"/>
          <w:sz w:val="24"/>
          <w:szCs w:val="24"/>
        </w:rPr>
      </w:pPr>
      <w:r>
        <w:rPr>
          <w:rFonts w:ascii="Arial" w:hAnsi="Arial" w:cs="Arial"/>
          <w:sz w:val="24"/>
          <w:szCs w:val="24"/>
        </w:rPr>
        <w:t xml:space="preserve">No </w:t>
      </w:r>
      <w:sdt>
        <w:sdtPr>
          <w:rPr>
            <w:rFonts w:ascii="Arial" w:hAnsi="Arial" w:cs="Arial"/>
            <w:sz w:val="24"/>
            <w:szCs w:val="24"/>
          </w:rPr>
          <w:id w:val="2124033477"/>
          <w14:checkbox>
            <w14:checked w14:val="0"/>
            <w14:checkedState w14:val="2612" w14:font="MS Gothic"/>
            <w14:uncheckedState w14:val="2610" w14:font="MS Gothic"/>
          </w14:checkbox>
        </w:sdtPr>
        <w:sdtEndPr/>
        <w:sdtContent>
          <w:r w:rsidRPr="00D80E43">
            <w:rPr>
              <w:rFonts w:ascii="Segoe UI Symbol" w:eastAsia="MS Gothic" w:hAnsi="Segoe UI Symbol" w:cs="Segoe UI Symbol"/>
              <w:sz w:val="24"/>
              <w:szCs w:val="24"/>
            </w:rPr>
            <w:t>☐</w:t>
          </w:r>
        </w:sdtContent>
      </w:sdt>
    </w:p>
    <w:p w:rsidR="00D80E43" w:rsidRDefault="00D80E43" w:rsidP="00D80E43">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00D80E43" w:rsidRPr="00D80E43" w:rsidTr="004D5C9A">
        <w:tc>
          <w:tcPr>
            <w:tcW w:w="9016" w:type="dxa"/>
          </w:tcPr>
          <w:p w:rsidR="00D80E43" w:rsidRPr="00D80E43" w:rsidRDefault="00D80E43" w:rsidP="00D80E43">
            <w:pPr>
              <w:rPr>
                <w:rFonts w:ascii="Arial" w:hAnsi="Arial" w:cs="Arial"/>
                <w:sz w:val="24"/>
                <w:szCs w:val="24"/>
              </w:rPr>
            </w:pPr>
            <w:r w:rsidRPr="00D80E43">
              <w:rPr>
                <w:rFonts w:ascii="Arial" w:hAnsi="Arial" w:cs="Arial"/>
                <w:sz w:val="24"/>
                <w:szCs w:val="24"/>
              </w:rPr>
              <w:t>If no, please confirm changes:</w:t>
            </w:r>
          </w:p>
          <w:p w:rsidR="00D80E43" w:rsidRPr="00D80E43" w:rsidRDefault="00D80E43" w:rsidP="00D80E43">
            <w:pPr>
              <w:rPr>
                <w:rFonts w:ascii="Arial" w:hAnsi="Arial" w:cs="Arial"/>
                <w:sz w:val="24"/>
                <w:szCs w:val="24"/>
              </w:rPr>
            </w:pPr>
          </w:p>
          <w:p w:rsidR="00D80E43" w:rsidRPr="00D80E43" w:rsidRDefault="00D80E43" w:rsidP="00D80E43">
            <w:pPr>
              <w:rPr>
                <w:rFonts w:ascii="Arial" w:hAnsi="Arial" w:cs="Arial"/>
                <w:sz w:val="24"/>
                <w:szCs w:val="24"/>
              </w:rPr>
            </w:pPr>
          </w:p>
          <w:p w:rsidR="00D80E43" w:rsidRPr="00D80E43" w:rsidRDefault="00D80E43" w:rsidP="00D80E43">
            <w:pPr>
              <w:rPr>
                <w:rFonts w:ascii="Arial" w:hAnsi="Arial" w:cs="Arial"/>
                <w:sz w:val="24"/>
                <w:szCs w:val="24"/>
              </w:rPr>
            </w:pPr>
          </w:p>
          <w:p w:rsidR="00D80E43" w:rsidRPr="00D80E43" w:rsidRDefault="00D80E43" w:rsidP="00D80E43">
            <w:pPr>
              <w:rPr>
                <w:rFonts w:ascii="Arial" w:hAnsi="Arial" w:cs="Arial"/>
                <w:sz w:val="24"/>
                <w:szCs w:val="24"/>
              </w:rPr>
            </w:pPr>
          </w:p>
          <w:p w:rsidR="00D80E43" w:rsidRPr="00D80E43" w:rsidRDefault="00D80E43" w:rsidP="00D80E43">
            <w:pPr>
              <w:rPr>
                <w:rFonts w:ascii="Arial" w:hAnsi="Arial" w:cs="Arial"/>
                <w:sz w:val="24"/>
                <w:szCs w:val="24"/>
              </w:rPr>
            </w:pPr>
          </w:p>
          <w:p w:rsidR="00D80E43" w:rsidRPr="00D80E43" w:rsidRDefault="00D80E43" w:rsidP="00D80E43">
            <w:pPr>
              <w:rPr>
                <w:rFonts w:ascii="Arial" w:hAnsi="Arial" w:cs="Arial"/>
                <w:sz w:val="24"/>
                <w:szCs w:val="24"/>
              </w:rPr>
            </w:pPr>
          </w:p>
        </w:tc>
      </w:tr>
    </w:tbl>
    <w:p w:rsidR="00D80E43" w:rsidRPr="00D80E43" w:rsidRDefault="00D80E43" w:rsidP="00D80E43">
      <w:pPr>
        <w:spacing w:after="0" w:line="240" w:lineRule="auto"/>
        <w:rPr>
          <w:rFonts w:ascii="Arial" w:hAnsi="Arial" w:cs="Arial"/>
          <w:sz w:val="24"/>
          <w:szCs w:val="24"/>
        </w:rPr>
      </w:pPr>
    </w:p>
    <w:p w:rsidR="00D80E43" w:rsidRDefault="00D80E43" w:rsidP="00D80E43">
      <w:pPr>
        <w:spacing w:after="0" w:line="240" w:lineRule="auto"/>
        <w:rPr>
          <w:rFonts w:ascii="Arial" w:hAnsi="Arial" w:cs="Arial"/>
          <w:sz w:val="24"/>
          <w:szCs w:val="24"/>
        </w:rPr>
      </w:pPr>
      <w:r w:rsidRPr="00D80E43">
        <w:rPr>
          <w:rFonts w:ascii="Arial" w:hAnsi="Arial" w:cs="Arial"/>
          <w:sz w:val="24"/>
          <w:szCs w:val="24"/>
        </w:rPr>
        <w:t>Please note, if it is found that you have not disclosed all relevant information or have not been truthful in your declaration, this may result in NCG terminating the contract.</w:t>
      </w:r>
    </w:p>
    <w:p w:rsidR="00D80E43" w:rsidRPr="00D80E43" w:rsidRDefault="00D80E43" w:rsidP="00D80E43">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D80E43" w:rsidRPr="00D80E43" w:rsidTr="004D5C9A">
        <w:tc>
          <w:tcPr>
            <w:tcW w:w="2405" w:type="dxa"/>
            <w:shd w:val="clear" w:color="auto" w:fill="D9D9D9" w:themeFill="background1" w:themeFillShade="D9"/>
          </w:tcPr>
          <w:p w:rsidR="00D80E43" w:rsidRPr="00D80E43" w:rsidRDefault="00D80E43" w:rsidP="00D80E43">
            <w:pPr>
              <w:rPr>
                <w:rFonts w:ascii="Arial" w:hAnsi="Arial" w:cs="Arial"/>
                <w:sz w:val="24"/>
                <w:szCs w:val="24"/>
              </w:rPr>
            </w:pPr>
            <w:r w:rsidRPr="00D80E43">
              <w:rPr>
                <w:rFonts w:ascii="Arial" w:hAnsi="Arial" w:cs="Arial"/>
                <w:sz w:val="24"/>
                <w:szCs w:val="24"/>
              </w:rPr>
              <w:t>Signature</w:t>
            </w:r>
          </w:p>
          <w:p w:rsidR="00D80E43" w:rsidRPr="00D80E43" w:rsidRDefault="00D80E43" w:rsidP="00D80E43">
            <w:pPr>
              <w:rPr>
                <w:rFonts w:ascii="Arial" w:hAnsi="Arial" w:cs="Arial"/>
                <w:sz w:val="24"/>
                <w:szCs w:val="24"/>
              </w:rPr>
            </w:pPr>
          </w:p>
        </w:tc>
        <w:tc>
          <w:tcPr>
            <w:tcW w:w="6611" w:type="dxa"/>
          </w:tcPr>
          <w:p w:rsidR="00D80E43" w:rsidRPr="00D80E43" w:rsidRDefault="00D80E43" w:rsidP="00D80E43">
            <w:pPr>
              <w:rPr>
                <w:rFonts w:ascii="Arial" w:hAnsi="Arial" w:cs="Arial"/>
                <w:sz w:val="24"/>
                <w:szCs w:val="24"/>
              </w:rPr>
            </w:pPr>
          </w:p>
        </w:tc>
      </w:tr>
      <w:tr w:rsidR="00D80E43" w:rsidRPr="00D80E43" w:rsidTr="004D5C9A">
        <w:tc>
          <w:tcPr>
            <w:tcW w:w="2405" w:type="dxa"/>
            <w:shd w:val="clear" w:color="auto" w:fill="D9D9D9" w:themeFill="background1" w:themeFillShade="D9"/>
          </w:tcPr>
          <w:p w:rsidR="00D80E43" w:rsidRPr="00D80E43" w:rsidRDefault="00D80E43" w:rsidP="00D80E43">
            <w:pPr>
              <w:rPr>
                <w:rFonts w:ascii="Arial" w:hAnsi="Arial" w:cs="Arial"/>
                <w:sz w:val="24"/>
                <w:szCs w:val="24"/>
              </w:rPr>
            </w:pPr>
            <w:r w:rsidRPr="00D80E43">
              <w:rPr>
                <w:rFonts w:ascii="Arial" w:hAnsi="Arial" w:cs="Arial"/>
                <w:sz w:val="24"/>
                <w:szCs w:val="24"/>
              </w:rPr>
              <w:t>Date</w:t>
            </w:r>
          </w:p>
          <w:p w:rsidR="00D80E43" w:rsidRPr="00D80E43" w:rsidRDefault="00D80E43" w:rsidP="00D80E43">
            <w:pPr>
              <w:rPr>
                <w:rFonts w:ascii="Arial" w:hAnsi="Arial" w:cs="Arial"/>
                <w:sz w:val="24"/>
                <w:szCs w:val="24"/>
              </w:rPr>
            </w:pPr>
          </w:p>
        </w:tc>
        <w:tc>
          <w:tcPr>
            <w:tcW w:w="6611" w:type="dxa"/>
          </w:tcPr>
          <w:p w:rsidR="00D80E43" w:rsidRPr="00D80E43" w:rsidRDefault="00D80E43" w:rsidP="00D80E43">
            <w:pPr>
              <w:rPr>
                <w:rFonts w:ascii="Arial" w:hAnsi="Arial" w:cs="Arial"/>
                <w:sz w:val="24"/>
                <w:szCs w:val="24"/>
              </w:rPr>
            </w:pPr>
          </w:p>
        </w:tc>
      </w:tr>
    </w:tbl>
    <w:p w:rsidR="00D80E43" w:rsidRPr="00D80E43" w:rsidRDefault="00D80E43" w:rsidP="00D80E43">
      <w:pPr>
        <w:rPr>
          <w:rFonts w:ascii="Arial" w:hAnsi="Arial" w:cs="Arial"/>
          <w:b/>
          <w:sz w:val="24"/>
          <w:szCs w:val="24"/>
        </w:rPr>
      </w:pPr>
    </w:p>
    <w:sectPr w:rsidR="00D80E43" w:rsidRPr="00D80E43">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922" w:rsidRDefault="00F22922" w:rsidP="0016508C">
      <w:pPr>
        <w:spacing w:after="0" w:line="240" w:lineRule="auto"/>
      </w:pPr>
      <w:r>
        <w:separator/>
      </w:r>
    </w:p>
  </w:endnote>
  <w:endnote w:type="continuationSeparator" w:id="0">
    <w:p w:rsidR="00F22922" w:rsidRDefault="00F22922" w:rsidP="00165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922" w:rsidRDefault="00F22922" w:rsidP="0016508C">
      <w:pPr>
        <w:spacing w:after="0" w:line="240" w:lineRule="auto"/>
      </w:pPr>
      <w:r>
        <w:separator/>
      </w:r>
    </w:p>
  </w:footnote>
  <w:footnote w:type="continuationSeparator" w:id="0">
    <w:p w:rsidR="00F22922" w:rsidRDefault="00F22922" w:rsidP="001650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08C" w:rsidRDefault="0016508C" w:rsidP="0016508C">
    <w:pPr>
      <w:pStyle w:val="Header"/>
      <w:jc w:val="right"/>
    </w:pPr>
    <w:r>
      <w:rPr>
        <w:noProof/>
        <w:color w:val="990033"/>
        <w:sz w:val="36"/>
        <w:szCs w:val="36"/>
      </w:rPr>
      <w:drawing>
        <wp:inline distT="0" distB="0" distL="0" distR="0" wp14:anchorId="07FF4F9E" wp14:editId="689E1200">
          <wp:extent cx="666750" cy="933450"/>
          <wp:effectExtent l="0" t="0" r="0" b="0"/>
          <wp:docPr id="1" name="Picture 1" descr="NCG_Logo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G_Logo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2288"/>
    <w:multiLevelType w:val="hybridMultilevel"/>
    <w:tmpl w:val="8B12CA6A"/>
    <w:lvl w:ilvl="0" w:tplc="51C8F2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C11724"/>
    <w:multiLevelType w:val="hybridMultilevel"/>
    <w:tmpl w:val="DAEC5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876507"/>
    <w:multiLevelType w:val="hybridMultilevel"/>
    <w:tmpl w:val="FB42B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587962"/>
    <w:multiLevelType w:val="hybridMultilevel"/>
    <w:tmpl w:val="83445B00"/>
    <w:lvl w:ilvl="0" w:tplc="9E105A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6C0C6A"/>
    <w:multiLevelType w:val="hybridMultilevel"/>
    <w:tmpl w:val="E2A445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02A508A"/>
    <w:multiLevelType w:val="hybridMultilevel"/>
    <w:tmpl w:val="6FC8E5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BF7F30"/>
    <w:multiLevelType w:val="hybridMultilevel"/>
    <w:tmpl w:val="2F38004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4697479A"/>
    <w:multiLevelType w:val="hybridMultilevel"/>
    <w:tmpl w:val="41CA5716"/>
    <w:lvl w:ilvl="0" w:tplc="08090001">
      <w:start w:val="1"/>
      <w:numFmt w:val="bullet"/>
      <w:lvlText w:val=""/>
      <w:lvlJc w:val="left"/>
      <w:pPr>
        <w:ind w:left="720" w:hanging="360"/>
      </w:pPr>
      <w:rPr>
        <w:rFonts w:ascii="Symbol" w:hAnsi="Symbol" w:hint="default"/>
      </w:rPr>
    </w:lvl>
    <w:lvl w:ilvl="1" w:tplc="449A4E60">
      <w:start w:val="1"/>
      <w:numFmt w:val="bullet"/>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F472FF0"/>
    <w:multiLevelType w:val="hybridMultilevel"/>
    <w:tmpl w:val="6B8A0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740799"/>
    <w:multiLevelType w:val="hybridMultilevel"/>
    <w:tmpl w:val="EC842F82"/>
    <w:lvl w:ilvl="0" w:tplc="A36297F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DD1681"/>
    <w:multiLevelType w:val="hybridMultilevel"/>
    <w:tmpl w:val="0428E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1437CC"/>
    <w:multiLevelType w:val="hybridMultilevel"/>
    <w:tmpl w:val="84A2D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8"/>
  </w:num>
  <w:num w:numId="5">
    <w:abstractNumId w:val="1"/>
  </w:num>
  <w:num w:numId="6">
    <w:abstractNumId w:val="10"/>
  </w:num>
  <w:num w:numId="7">
    <w:abstractNumId w:val="2"/>
  </w:num>
  <w:num w:numId="8">
    <w:abstractNumId w:val="0"/>
  </w:num>
  <w:num w:numId="9">
    <w:abstractNumId w:val="5"/>
  </w:num>
  <w:num w:numId="10">
    <w:abstractNumId w:val="11"/>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3EB"/>
    <w:rsid w:val="0005278B"/>
    <w:rsid w:val="0012373B"/>
    <w:rsid w:val="00132F3A"/>
    <w:rsid w:val="00162ECA"/>
    <w:rsid w:val="0016508C"/>
    <w:rsid w:val="001B295A"/>
    <w:rsid w:val="002124CD"/>
    <w:rsid w:val="00313DDF"/>
    <w:rsid w:val="003309A5"/>
    <w:rsid w:val="003419E7"/>
    <w:rsid w:val="00353BEB"/>
    <w:rsid w:val="0038266B"/>
    <w:rsid w:val="003B3F9C"/>
    <w:rsid w:val="004219AC"/>
    <w:rsid w:val="004B4370"/>
    <w:rsid w:val="004E4C37"/>
    <w:rsid w:val="004F5B50"/>
    <w:rsid w:val="004F744E"/>
    <w:rsid w:val="005326EF"/>
    <w:rsid w:val="00536D01"/>
    <w:rsid w:val="005A5517"/>
    <w:rsid w:val="005C4714"/>
    <w:rsid w:val="005E4F8F"/>
    <w:rsid w:val="00663869"/>
    <w:rsid w:val="006855C0"/>
    <w:rsid w:val="006976E0"/>
    <w:rsid w:val="006D55A4"/>
    <w:rsid w:val="00763F20"/>
    <w:rsid w:val="00767ED4"/>
    <w:rsid w:val="007A3C94"/>
    <w:rsid w:val="007C04C0"/>
    <w:rsid w:val="007F5B70"/>
    <w:rsid w:val="007F7DB4"/>
    <w:rsid w:val="00855C6F"/>
    <w:rsid w:val="008703BE"/>
    <w:rsid w:val="008E4BA4"/>
    <w:rsid w:val="00912A27"/>
    <w:rsid w:val="00937883"/>
    <w:rsid w:val="009953D0"/>
    <w:rsid w:val="009C5EB0"/>
    <w:rsid w:val="009F3DC6"/>
    <w:rsid w:val="00AF3E97"/>
    <w:rsid w:val="00B73DCB"/>
    <w:rsid w:val="00B9492E"/>
    <w:rsid w:val="00C30780"/>
    <w:rsid w:val="00C61BAB"/>
    <w:rsid w:val="00CD6429"/>
    <w:rsid w:val="00CF6A63"/>
    <w:rsid w:val="00D80E43"/>
    <w:rsid w:val="00DC32BE"/>
    <w:rsid w:val="00DE2362"/>
    <w:rsid w:val="00DF51BE"/>
    <w:rsid w:val="00E33635"/>
    <w:rsid w:val="00EA47A8"/>
    <w:rsid w:val="00EB088B"/>
    <w:rsid w:val="00EB1D82"/>
    <w:rsid w:val="00EB5484"/>
    <w:rsid w:val="00EC79EB"/>
    <w:rsid w:val="00EE3749"/>
    <w:rsid w:val="00F22922"/>
    <w:rsid w:val="00F50EDA"/>
    <w:rsid w:val="00F54619"/>
    <w:rsid w:val="00F704C4"/>
    <w:rsid w:val="00FC4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7B4C3-3D35-44E8-A914-216E13EC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3EB"/>
    <w:pPr>
      <w:spacing w:after="0" w:line="240" w:lineRule="auto"/>
      <w:ind w:left="720"/>
    </w:pPr>
    <w:rPr>
      <w:rFonts w:ascii="Calibri" w:hAnsi="Calibri" w:cs="Calibri"/>
      <w:lang w:eastAsia="en-GB"/>
    </w:rPr>
  </w:style>
  <w:style w:type="character" w:styleId="Hyperlink">
    <w:name w:val="Hyperlink"/>
    <w:basedOn w:val="DefaultParagraphFont"/>
    <w:uiPriority w:val="99"/>
    <w:unhideWhenUsed/>
    <w:rsid w:val="005A5517"/>
    <w:rPr>
      <w:color w:val="0000FF"/>
      <w:u w:val="single"/>
    </w:rPr>
  </w:style>
  <w:style w:type="character" w:styleId="CommentReference">
    <w:name w:val="annotation reference"/>
    <w:basedOn w:val="DefaultParagraphFont"/>
    <w:uiPriority w:val="99"/>
    <w:semiHidden/>
    <w:unhideWhenUsed/>
    <w:rsid w:val="006976E0"/>
    <w:rPr>
      <w:sz w:val="16"/>
      <w:szCs w:val="16"/>
    </w:rPr>
  </w:style>
  <w:style w:type="paragraph" w:styleId="CommentText">
    <w:name w:val="annotation text"/>
    <w:basedOn w:val="Normal"/>
    <w:link w:val="CommentTextChar"/>
    <w:uiPriority w:val="99"/>
    <w:semiHidden/>
    <w:unhideWhenUsed/>
    <w:rsid w:val="006976E0"/>
    <w:pPr>
      <w:spacing w:line="240" w:lineRule="auto"/>
    </w:pPr>
    <w:rPr>
      <w:sz w:val="20"/>
      <w:szCs w:val="20"/>
    </w:rPr>
  </w:style>
  <w:style w:type="character" w:customStyle="1" w:styleId="CommentTextChar">
    <w:name w:val="Comment Text Char"/>
    <w:basedOn w:val="DefaultParagraphFont"/>
    <w:link w:val="CommentText"/>
    <w:uiPriority w:val="99"/>
    <w:semiHidden/>
    <w:rsid w:val="006976E0"/>
    <w:rPr>
      <w:sz w:val="20"/>
      <w:szCs w:val="20"/>
    </w:rPr>
  </w:style>
  <w:style w:type="paragraph" w:styleId="CommentSubject">
    <w:name w:val="annotation subject"/>
    <w:basedOn w:val="CommentText"/>
    <w:next w:val="CommentText"/>
    <w:link w:val="CommentSubjectChar"/>
    <w:uiPriority w:val="99"/>
    <w:semiHidden/>
    <w:unhideWhenUsed/>
    <w:rsid w:val="006976E0"/>
    <w:rPr>
      <w:b/>
      <w:bCs/>
    </w:rPr>
  </w:style>
  <w:style w:type="character" w:customStyle="1" w:styleId="CommentSubjectChar">
    <w:name w:val="Comment Subject Char"/>
    <w:basedOn w:val="CommentTextChar"/>
    <w:link w:val="CommentSubject"/>
    <w:uiPriority w:val="99"/>
    <w:semiHidden/>
    <w:rsid w:val="006976E0"/>
    <w:rPr>
      <w:b/>
      <w:bCs/>
      <w:sz w:val="20"/>
      <w:szCs w:val="20"/>
    </w:rPr>
  </w:style>
  <w:style w:type="paragraph" w:styleId="BalloonText">
    <w:name w:val="Balloon Text"/>
    <w:basedOn w:val="Normal"/>
    <w:link w:val="BalloonTextChar"/>
    <w:uiPriority w:val="99"/>
    <w:semiHidden/>
    <w:unhideWhenUsed/>
    <w:rsid w:val="006976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6E0"/>
    <w:rPr>
      <w:rFonts w:ascii="Segoe UI" w:hAnsi="Segoe UI" w:cs="Segoe UI"/>
      <w:sz w:val="18"/>
      <w:szCs w:val="18"/>
    </w:rPr>
  </w:style>
  <w:style w:type="character" w:styleId="UnresolvedMention">
    <w:name w:val="Unresolved Mention"/>
    <w:basedOn w:val="DefaultParagraphFont"/>
    <w:uiPriority w:val="99"/>
    <w:semiHidden/>
    <w:unhideWhenUsed/>
    <w:rsid w:val="006976E0"/>
    <w:rPr>
      <w:color w:val="605E5C"/>
      <w:shd w:val="clear" w:color="auto" w:fill="E1DFDD"/>
    </w:rPr>
  </w:style>
  <w:style w:type="paragraph" w:styleId="Header">
    <w:name w:val="header"/>
    <w:basedOn w:val="Normal"/>
    <w:link w:val="HeaderChar"/>
    <w:uiPriority w:val="99"/>
    <w:unhideWhenUsed/>
    <w:rsid w:val="001650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08C"/>
  </w:style>
  <w:style w:type="paragraph" w:styleId="Footer">
    <w:name w:val="footer"/>
    <w:basedOn w:val="Normal"/>
    <w:link w:val="FooterChar"/>
    <w:uiPriority w:val="99"/>
    <w:unhideWhenUsed/>
    <w:rsid w:val="001650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08C"/>
  </w:style>
  <w:style w:type="table" w:styleId="TableGrid">
    <w:name w:val="Table Grid"/>
    <w:basedOn w:val="TableNormal"/>
    <w:uiPriority w:val="39"/>
    <w:rsid w:val="00165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73D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191918">
      <w:bodyDiv w:val="1"/>
      <w:marLeft w:val="0"/>
      <w:marRight w:val="0"/>
      <w:marTop w:val="0"/>
      <w:marBottom w:val="0"/>
      <w:divBdr>
        <w:top w:val="none" w:sz="0" w:space="0" w:color="auto"/>
        <w:left w:val="none" w:sz="0" w:space="0" w:color="auto"/>
        <w:bottom w:val="none" w:sz="0" w:space="0" w:color="auto"/>
        <w:right w:val="none" w:sz="0" w:space="0" w:color="auto"/>
      </w:divBdr>
    </w:div>
    <w:div w:id="1652757574">
      <w:bodyDiv w:val="1"/>
      <w:marLeft w:val="0"/>
      <w:marRight w:val="0"/>
      <w:marTop w:val="0"/>
      <w:marBottom w:val="0"/>
      <w:divBdr>
        <w:top w:val="none" w:sz="0" w:space="0" w:color="auto"/>
        <w:left w:val="none" w:sz="0" w:space="0" w:color="auto"/>
        <w:bottom w:val="none" w:sz="0" w:space="0" w:color="auto"/>
        <w:right w:val="none" w:sz="0" w:space="0" w:color="auto"/>
      </w:divBdr>
    </w:div>
    <w:div w:id="183475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hyperlink" Target="https://www.tax.service.gov.uk/check-employment-status-for-tax/disclaime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cid:image001.png@01D665C2.D0E72B80" TargetMode="External"/><Relationship Id="rId17" Type="http://schemas.openxmlformats.org/officeDocument/2006/relationships/hyperlink" Target="mailto:procurement@ncgrp.co.uk" TargetMode="External"/><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hyperlink" Target="mailto:employeeoperations@ncgrp.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https://www.tax.service.gov.uk/check-employment-status-for-tax/disclaimer" TargetMode="External"/><Relationship Id="rId19" Type="http://schemas.openxmlformats.org/officeDocument/2006/relationships/hyperlink" Target="http://intranet.ncgrp.co.uk/groupservices/Group_Contracts/Procurement/Forms/AllItem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Excel_Worksheet.xlsx"/><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097B1A0D68DC49846F3F609B4C9499" ma:contentTypeVersion="12" ma:contentTypeDescription="Create a new document." ma:contentTypeScope="" ma:versionID="2be69f34a03a43068bc184380b85510e">
  <xsd:schema xmlns:xsd="http://www.w3.org/2001/XMLSchema" xmlns:xs="http://www.w3.org/2001/XMLSchema" xmlns:p="http://schemas.microsoft.com/office/2006/metadata/properties" xmlns:ns3="e3112d91-4838-436b-bc7d-d38f05ed9dd0" xmlns:ns4="f9fd5a34-f0ec-4dfc-a60d-14cc9ef66910" targetNamespace="http://schemas.microsoft.com/office/2006/metadata/properties" ma:root="true" ma:fieldsID="92acd25610a8db12c1c5b7b9752514bc" ns3:_="" ns4:_="">
    <xsd:import namespace="e3112d91-4838-436b-bc7d-d38f05ed9dd0"/>
    <xsd:import namespace="f9fd5a34-f0ec-4dfc-a60d-14cc9ef669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12d91-4838-436b-bc7d-d38f05ed9dd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d5a34-f0ec-4dfc-a60d-14cc9ef669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37B974-C6F8-4870-9374-1B62F4042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12d91-4838-436b-bc7d-d38f05ed9dd0"/>
    <ds:schemaRef ds:uri="f9fd5a34-f0ec-4dfc-a60d-14cc9ef66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B16528-7B4E-49ED-97D6-9D50D689A10B}">
  <ds:schemaRefs>
    <ds:schemaRef ds:uri="http://schemas.microsoft.com/sharepoint/v3/contenttype/forms"/>
  </ds:schemaRefs>
</ds:datastoreItem>
</file>

<file path=customXml/itemProps3.xml><?xml version="1.0" encoding="utf-8"?>
<ds:datastoreItem xmlns:ds="http://schemas.openxmlformats.org/officeDocument/2006/customXml" ds:itemID="{4F9B65E1-5740-4AD5-AA2F-4D743A121C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2553</Words>
  <Characters>14554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NCG</Company>
  <LinksUpToDate>false</LinksUpToDate>
  <CharactersWithSpaces>17073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Atton, Kathryn</dc:creator>
  <cp:keywords/>
  <dc:description/>
  <cp:lastModifiedBy>Urwin, Steven</cp:lastModifiedBy>
  <cp:revision>2</cp:revision>
  <dcterms:created xsi:type="dcterms:W3CDTF">2021-04-30T09:25:00Z</dcterms:created>
  <dcterms:modified xsi:type="dcterms:W3CDTF">2021-04-30T09:25:00Z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0x0101000F097B1A0D68DC49846F3F609B4C9499</vt:lpwstr>
  </property>
</Properties>
</file>